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D17" w:rsidRPr="00BE4631" w:rsidRDefault="000F32A1" w:rsidP="00945D17">
      <w:pPr>
        <w:jc w:val="center"/>
        <w:rPr>
          <w:rFonts w:ascii="黑体" w:eastAsia="黑体"/>
          <w:sz w:val="32"/>
          <w:szCs w:val="32"/>
        </w:rPr>
      </w:pPr>
      <w:r>
        <w:rPr>
          <w:rFonts w:ascii="宋体" w:eastAsia="宋体" w:hAnsi="宋体" w:cs="宋体"/>
          <w:kern w:val="0"/>
          <w:sz w:val="24"/>
          <w:szCs w:val="24"/>
        </w:rPr>
        <w:pict>
          <v:shapetype id="_x0000_t202" coordsize="21600,21600" o:spt="202" path="m,l,21600r21600,l21600,xe">
            <v:stroke joinstyle="miter"/>
            <v:path gradientshapeok="t" o:connecttype="rect"/>
          </v:shapetype>
          <v:shape id="文本框 2" o:spid="_x0000_s1026" type="#_x0000_t202" style="position:absolute;left:0;text-align:left;margin-left:1.2pt;margin-top:-1in;width:90pt;height:54pt;z-index:251659264;visibility:visible;mso-wrap-style:square;mso-width-percent:0;mso-height-percent:200;mso-wrap-distance-left:9pt;mso-wrap-distance-top:3.6pt;mso-wrap-distance-right:9pt;mso-wrap-distance-bottom:3.6pt;mso-position-horizontal-relative:page;mso-position-vertical-relative:text;mso-width-percent:0;mso-height-percent:20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" stroked="f">
            <v:textbox style="mso-fit-shape-to-text:t">
              <w:txbxContent>
                <w:p w:rsidR="00946F6A" w:rsidRDefault="00946F6A" w:rsidP="00946F6A">
                  <w:pPr>
                    <w:spacing w:beforeLines="100" w:before="312"/>
                    <w:ind w:firstLineChars="200" w:firstLine="560"/>
                    <w:rPr>
                      <w:rFonts w:ascii="宋体" w:eastAsia="宋体" w:hAnsi="宋体"/>
                      <w:sz w:val="28"/>
                      <w:szCs w:val="28"/>
                    </w:rPr>
                  </w:pPr>
                  <w:r>
                    <w:rPr>
                      <w:rFonts w:ascii="宋体" w:eastAsia="宋体" w:hAnsi="宋体" w:hint="eastAsia"/>
                      <w:sz w:val="28"/>
                      <w:szCs w:val="28"/>
                    </w:rPr>
                    <w:t>附件</w:t>
                  </w:r>
                  <w:r w:rsidR="00B61756">
                    <w:rPr>
                      <w:rFonts w:ascii="宋体" w:eastAsia="宋体" w:hAnsi="宋体"/>
                      <w:sz w:val="28"/>
                      <w:szCs w:val="28"/>
                    </w:rPr>
                    <w:t>7</w:t>
                  </w:r>
                </w:p>
              </w:txbxContent>
            </v:textbox>
            <w10:wrap anchorx="page"/>
          </v:shape>
        </w:pict>
      </w:r>
      <w:r w:rsidR="00BE4631" w:rsidRPr="00BE4631">
        <w:rPr>
          <w:rFonts w:ascii="黑体" w:eastAsia="黑体" w:hint="eastAsia"/>
          <w:sz w:val="32"/>
          <w:szCs w:val="32"/>
        </w:rPr>
        <w:t>202</w:t>
      </w:r>
      <w:r w:rsidR="0015678A">
        <w:rPr>
          <w:rFonts w:ascii="黑体" w:eastAsia="黑体"/>
          <w:sz w:val="32"/>
          <w:szCs w:val="32"/>
        </w:rPr>
        <w:t>2</w:t>
      </w:r>
      <w:r w:rsidR="00BE4631" w:rsidRPr="00BE4631">
        <w:rPr>
          <w:rFonts w:ascii="黑体" w:eastAsia="黑体" w:hint="eastAsia"/>
          <w:sz w:val="32"/>
          <w:szCs w:val="32"/>
        </w:rPr>
        <w:t>年度</w:t>
      </w:r>
      <w:r w:rsidR="00945D17" w:rsidRPr="00BE4631">
        <w:rPr>
          <w:rFonts w:ascii="黑体" w:eastAsia="黑体" w:hint="eastAsia"/>
          <w:sz w:val="32"/>
          <w:szCs w:val="32"/>
        </w:rPr>
        <w:t>大型科研仪器创新成效案例表</w:t>
      </w:r>
    </w:p>
    <w:tbl>
      <w:tblPr>
        <w:tblStyle w:val="a5"/>
        <w:tblW w:w="0" w:type="auto"/>
        <w:tblLook w:val="01E0" w:firstRow="1" w:lastRow="1" w:firstColumn="1" w:lastColumn="1" w:noHBand="0" w:noVBand="0"/>
      </w:tblPr>
      <w:tblGrid>
        <w:gridCol w:w="2840"/>
        <w:gridCol w:w="5682"/>
      </w:tblGrid>
      <w:tr w:rsidR="00945D17" w:rsidRPr="008510A3" w:rsidTr="008B7A25">
        <w:tc>
          <w:tcPr>
            <w:tcW w:w="2840" w:type="dxa"/>
          </w:tcPr>
          <w:p w:rsidR="00945D17" w:rsidRPr="006866B4" w:rsidRDefault="00945D17" w:rsidP="00C6460E">
            <w:pPr>
              <w:rPr>
                <w:sz w:val="24"/>
              </w:rPr>
            </w:pPr>
          </w:p>
        </w:tc>
        <w:tc>
          <w:tcPr>
            <w:tcW w:w="5682" w:type="dxa"/>
          </w:tcPr>
          <w:p w:rsidR="00945D17" w:rsidRPr="008510A3" w:rsidRDefault="00945D17" w:rsidP="00945D17">
            <w:pPr>
              <w:spacing w:line="360" w:lineRule="auto"/>
              <w:jc w:val="center"/>
              <w:rPr>
                <w:sz w:val="24"/>
              </w:rPr>
            </w:pPr>
            <w:r w:rsidRPr="008510A3">
              <w:rPr>
                <w:rFonts w:hint="eastAsia"/>
                <w:sz w:val="24"/>
              </w:rPr>
              <w:t>案例</w:t>
            </w:r>
          </w:p>
        </w:tc>
      </w:tr>
      <w:tr w:rsidR="00945D17" w:rsidRPr="008510A3" w:rsidTr="002346BF">
        <w:tc>
          <w:tcPr>
            <w:tcW w:w="2840" w:type="dxa"/>
            <w:vAlign w:val="center"/>
          </w:tcPr>
          <w:p w:rsidR="00945D17" w:rsidRPr="008510A3" w:rsidRDefault="00945D17" w:rsidP="00C6460E">
            <w:pPr>
              <w:jc w:val="center"/>
              <w:rPr>
                <w:sz w:val="24"/>
              </w:rPr>
            </w:pPr>
            <w:r w:rsidRPr="008510A3">
              <w:rPr>
                <w:rFonts w:hint="eastAsia"/>
                <w:sz w:val="24"/>
              </w:rPr>
              <w:t>支撑本校科技创新成效案例</w:t>
            </w:r>
          </w:p>
        </w:tc>
        <w:tc>
          <w:tcPr>
            <w:tcW w:w="5682" w:type="dxa"/>
          </w:tcPr>
          <w:p w:rsidR="00945D17" w:rsidRPr="008510A3" w:rsidRDefault="003D06FC" w:rsidP="00C6460E">
            <w:pPr>
              <w:rPr>
                <w:sz w:val="24"/>
              </w:rPr>
            </w:pPr>
            <w:r>
              <w:rPr>
                <w:rFonts w:hint="eastAsia"/>
                <w:sz w:val="24"/>
              </w:rPr>
              <w:t>每篇</w:t>
            </w:r>
            <w:r w:rsidR="00945D17">
              <w:rPr>
                <w:rFonts w:hint="eastAsia"/>
                <w:sz w:val="24"/>
              </w:rPr>
              <w:t>不超过</w:t>
            </w:r>
            <w:r w:rsidR="00945D17">
              <w:rPr>
                <w:rFonts w:hint="eastAsia"/>
                <w:sz w:val="24"/>
              </w:rPr>
              <w:t>400</w:t>
            </w:r>
            <w:r w:rsidR="00945D17">
              <w:rPr>
                <w:rFonts w:hint="eastAsia"/>
                <w:sz w:val="24"/>
              </w:rPr>
              <w:t>字</w:t>
            </w:r>
          </w:p>
          <w:p w:rsidR="00945D17" w:rsidRPr="003D06FC" w:rsidRDefault="00E07328" w:rsidP="00C6460E">
            <w:pPr>
              <w:rPr>
                <w:rFonts w:ascii="楷体" w:eastAsia="楷体" w:hAnsi="楷体"/>
                <w:color w:val="000000" w:themeColor="text1"/>
                <w:sz w:val="24"/>
              </w:rPr>
            </w:pPr>
            <w:r w:rsidRPr="003D06FC">
              <w:rPr>
                <w:rFonts w:ascii="楷体" w:eastAsia="楷体" w:hAnsi="楷体" w:hint="eastAsia"/>
                <w:color w:val="000000" w:themeColor="text1"/>
                <w:sz w:val="24"/>
              </w:rPr>
              <w:t>可参考提供的范例，需明确支持的重大创新项目或研究，</w:t>
            </w:r>
            <w:r w:rsidR="00BF66EF" w:rsidRPr="003D06FC">
              <w:rPr>
                <w:rFonts w:ascii="楷体" w:eastAsia="楷体" w:hAnsi="楷体" w:hint="eastAsia"/>
                <w:color w:val="000000" w:themeColor="text1"/>
                <w:sz w:val="24"/>
              </w:rPr>
              <w:t>取得的成效</w:t>
            </w:r>
            <w:r w:rsidR="003D06FC">
              <w:rPr>
                <w:rFonts w:ascii="楷体" w:eastAsia="楷体" w:hAnsi="楷体" w:hint="eastAsia"/>
                <w:color w:val="000000" w:themeColor="text1"/>
                <w:sz w:val="24"/>
              </w:rPr>
              <w:t>（论</w:t>
            </w:r>
            <w:bookmarkStart w:id="0" w:name="_GoBack"/>
            <w:bookmarkEnd w:id="0"/>
            <w:r w:rsidR="003D06FC">
              <w:rPr>
                <w:rFonts w:ascii="楷体" w:eastAsia="楷体" w:hAnsi="楷体" w:hint="eastAsia"/>
                <w:color w:val="000000" w:themeColor="text1"/>
                <w:sz w:val="24"/>
              </w:rPr>
              <w:t>文</w:t>
            </w:r>
            <w:r w:rsidR="003D06FC">
              <w:rPr>
                <w:rFonts w:ascii="楷体" w:eastAsia="楷体" w:hAnsi="楷体"/>
                <w:color w:val="000000" w:themeColor="text1"/>
                <w:sz w:val="24"/>
              </w:rPr>
              <w:t>、获奖</w:t>
            </w:r>
            <w:r w:rsidR="003D06FC">
              <w:rPr>
                <w:rFonts w:ascii="楷体" w:eastAsia="楷体" w:hAnsi="楷体" w:hint="eastAsia"/>
                <w:color w:val="000000" w:themeColor="text1"/>
                <w:sz w:val="24"/>
              </w:rPr>
              <w:t>）</w:t>
            </w:r>
            <w:r w:rsidR="00BF66EF" w:rsidRPr="003D06FC">
              <w:rPr>
                <w:rFonts w:ascii="楷体" w:eastAsia="楷体" w:hAnsi="楷体" w:hint="eastAsia"/>
                <w:color w:val="000000" w:themeColor="text1"/>
                <w:sz w:val="24"/>
              </w:rPr>
              <w:t>等，</w:t>
            </w:r>
            <w:r w:rsidRPr="003D06FC">
              <w:rPr>
                <w:rFonts w:ascii="楷体" w:eastAsia="楷体" w:hAnsi="楷体" w:hint="eastAsia"/>
                <w:color w:val="000000" w:themeColor="text1"/>
                <w:sz w:val="24"/>
              </w:rPr>
              <w:t>涉及到的相关设备</w:t>
            </w:r>
            <w:r w:rsidR="00BF66EF" w:rsidRPr="003D06FC">
              <w:rPr>
                <w:rFonts w:ascii="楷体" w:eastAsia="楷体" w:hAnsi="楷体" w:hint="eastAsia"/>
                <w:color w:val="000000" w:themeColor="text1"/>
                <w:sz w:val="24"/>
              </w:rPr>
              <w:t>请注明名称。</w:t>
            </w: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Default="00945D17" w:rsidP="00C6460E">
            <w:pPr>
              <w:rPr>
                <w:sz w:val="24"/>
              </w:rPr>
            </w:pPr>
          </w:p>
          <w:p w:rsidR="00945D17"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Pr="008510A3" w:rsidRDefault="00F42FA7" w:rsidP="00C6460E">
            <w:pPr>
              <w:rPr>
                <w:sz w:val="24"/>
              </w:rPr>
            </w:pPr>
            <w:r>
              <w:rPr>
                <w:rFonts w:hint="eastAsia"/>
                <w:sz w:val="24"/>
              </w:rPr>
              <w:t>（不够请另附页）</w:t>
            </w:r>
          </w:p>
        </w:tc>
      </w:tr>
      <w:tr w:rsidR="00945D17" w:rsidRPr="008510A3" w:rsidTr="00D82AAB">
        <w:tc>
          <w:tcPr>
            <w:tcW w:w="2840" w:type="dxa"/>
            <w:vAlign w:val="center"/>
          </w:tcPr>
          <w:p w:rsidR="00945D17" w:rsidRPr="008510A3" w:rsidRDefault="00945D17" w:rsidP="00C6460E">
            <w:pPr>
              <w:jc w:val="center"/>
              <w:rPr>
                <w:sz w:val="24"/>
              </w:rPr>
            </w:pPr>
            <w:r w:rsidRPr="008510A3">
              <w:rPr>
                <w:rFonts w:hint="eastAsia"/>
                <w:sz w:val="24"/>
              </w:rPr>
              <w:t>支撑校外科技创新成效案例</w:t>
            </w:r>
          </w:p>
        </w:tc>
        <w:tc>
          <w:tcPr>
            <w:tcW w:w="5682" w:type="dxa"/>
          </w:tcPr>
          <w:p w:rsidR="00945D17" w:rsidRPr="008510A3" w:rsidRDefault="003D06FC" w:rsidP="00945D17">
            <w:pPr>
              <w:rPr>
                <w:sz w:val="24"/>
              </w:rPr>
            </w:pPr>
            <w:r>
              <w:rPr>
                <w:rFonts w:hint="eastAsia"/>
                <w:sz w:val="24"/>
              </w:rPr>
              <w:t>每篇</w:t>
            </w:r>
            <w:r w:rsidR="00945D17">
              <w:rPr>
                <w:rFonts w:hint="eastAsia"/>
                <w:sz w:val="24"/>
              </w:rPr>
              <w:t>不超过</w:t>
            </w:r>
            <w:r w:rsidR="00945D17">
              <w:rPr>
                <w:rFonts w:hint="eastAsia"/>
                <w:sz w:val="24"/>
              </w:rPr>
              <w:t>400</w:t>
            </w:r>
            <w:r w:rsidR="00945D17">
              <w:rPr>
                <w:rFonts w:hint="eastAsia"/>
                <w:sz w:val="24"/>
              </w:rPr>
              <w:t>字</w:t>
            </w:r>
          </w:p>
          <w:p w:rsidR="00BF66EF" w:rsidRPr="003D06FC" w:rsidRDefault="00BF66EF" w:rsidP="00BF66EF">
            <w:pPr>
              <w:rPr>
                <w:rFonts w:ascii="楷体" w:eastAsia="楷体" w:hAnsi="楷体"/>
                <w:color w:val="000000" w:themeColor="text1"/>
                <w:sz w:val="24"/>
              </w:rPr>
            </w:pPr>
            <w:r w:rsidRPr="003D06FC">
              <w:rPr>
                <w:rFonts w:ascii="楷体" w:eastAsia="楷体" w:hAnsi="楷体" w:hint="eastAsia"/>
                <w:color w:val="000000" w:themeColor="text1"/>
                <w:sz w:val="24"/>
              </w:rPr>
              <w:t>可参考提供的范例，需明确支持的重大创新项目或研究，取得的成效，或支持企业发展的成效，涉及到的相关设备请注明名称。</w:t>
            </w:r>
          </w:p>
          <w:p w:rsidR="00945D17" w:rsidRPr="008510A3" w:rsidRDefault="00945D17" w:rsidP="00C6460E">
            <w:pPr>
              <w:rPr>
                <w:sz w:val="24"/>
              </w:rPr>
            </w:pPr>
          </w:p>
          <w:p w:rsidR="00945D17" w:rsidRPr="008510A3"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Pr="008510A3" w:rsidRDefault="00945D17" w:rsidP="00C6460E">
            <w:pPr>
              <w:rPr>
                <w:sz w:val="24"/>
              </w:rPr>
            </w:pPr>
          </w:p>
        </w:tc>
      </w:tr>
    </w:tbl>
    <w:p w:rsidR="00945D17" w:rsidRPr="008510A3" w:rsidRDefault="006866B4" w:rsidP="00945D17">
      <w:pPr>
        <w:rPr>
          <w:sz w:val="24"/>
        </w:rPr>
      </w:pPr>
      <w:r w:rsidRPr="00F161B4">
        <w:rPr>
          <w:rFonts w:hint="eastAsia"/>
          <w:sz w:val="28"/>
          <w:szCs w:val="28"/>
        </w:rPr>
        <w:t>单位</w:t>
      </w:r>
      <w:r>
        <w:rPr>
          <w:rFonts w:hint="eastAsia"/>
          <w:sz w:val="28"/>
          <w:szCs w:val="28"/>
        </w:rPr>
        <w:t>盖章</w:t>
      </w:r>
      <w:r w:rsidRPr="00F161B4">
        <w:rPr>
          <w:rFonts w:hint="eastAsia"/>
          <w:sz w:val="28"/>
          <w:szCs w:val="28"/>
        </w:rPr>
        <w:t>：</w:t>
      </w:r>
    </w:p>
    <w:p w:rsidR="00945D17" w:rsidRPr="00F161B4" w:rsidRDefault="000849D6" w:rsidP="00945D17">
      <w:pPr>
        <w:rPr>
          <w:sz w:val="28"/>
          <w:szCs w:val="28"/>
        </w:rPr>
      </w:pPr>
      <w:r>
        <w:rPr>
          <w:rFonts w:hint="eastAsia"/>
          <w:sz w:val="28"/>
          <w:szCs w:val="28"/>
        </w:rPr>
        <w:t>填报</w:t>
      </w:r>
      <w:r w:rsidR="00945D17" w:rsidRPr="00F161B4">
        <w:rPr>
          <w:rFonts w:hint="eastAsia"/>
          <w:sz w:val="28"/>
          <w:szCs w:val="28"/>
        </w:rPr>
        <w:t>人</w:t>
      </w:r>
      <w:r w:rsidR="00945D17" w:rsidRPr="00F161B4">
        <w:rPr>
          <w:rFonts w:hint="eastAsia"/>
          <w:sz w:val="28"/>
          <w:szCs w:val="28"/>
        </w:rPr>
        <w:t>(</w:t>
      </w:r>
      <w:r w:rsidR="00945D17" w:rsidRPr="00F161B4">
        <w:rPr>
          <w:rFonts w:hint="eastAsia"/>
          <w:sz w:val="28"/>
          <w:szCs w:val="28"/>
        </w:rPr>
        <w:t>签字</w:t>
      </w:r>
      <w:r w:rsidR="00945D17" w:rsidRPr="00F161B4">
        <w:rPr>
          <w:rFonts w:hint="eastAsia"/>
          <w:sz w:val="28"/>
          <w:szCs w:val="28"/>
        </w:rPr>
        <w:t xml:space="preserve">):                   </w:t>
      </w:r>
      <w:r w:rsidR="00945D17" w:rsidRPr="00F161B4">
        <w:rPr>
          <w:rFonts w:hint="eastAsia"/>
          <w:sz w:val="28"/>
          <w:szCs w:val="28"/>
        </w:rPr>
        <w:t>单位领导</w:t>
      </w:r>
      <w:r w:rsidR="00945D17" w:rsidRPr="00F161B4">
        <w:rPr>
          <w:rFonts w:hint="eastAsia"/>
          <w:sz w:val="28"/>
          <w:szCs w:val="28"/>
        </w:rPr>
        <w:t>(</w:t>
      </w:r>
      <w:r w:rsidR="00945D17" w:rsidRPr="00F161B4">
        <w:rPr>
          <w:rFonts w:hint="eastAsia"/>
          <w:sz w:val="28"/>
          <w:szCs w:val="28"/>
        </w:rPr>
        <w:t>签字</w:t>
      </w:r>
      <w:r w:rsidR="00945D17" w:rsidRPr="00F161B4">
        <w:rPr>
          <w:rFonts w:hint="eastAsia"/>
          <w:sz w:val="28"/>
          <w:szCs w:val="28"/>
        </w:rPr>
        <w:t xml:space="preserve">):             </w:t>
      </w:r>
    </w:p>
    <w:p w:rsidR="00945D17" w:rsidRPr="00F161B4" w:rsidRDefault="00945D17" w:rsidP="00945D17">
      <w:pPr>
        <w:rPr>
          <w:sz w:val="28"/>
          <w:szCs w:val="28"/>
        </w:rPr>
      </w:pPr>
      <w:r w:rsidRPr="00F161B4">
        <w:rPr>
          <w:rFonts w:hint="eastAsia"/>
          <w:sz w:val="28"/>
          <w:szCs w:val="28"/>
        </w:rPr>
        <w:t>填报日期</w:t>
      </w:r>
      <w:r w:rsidRPr="00F161B4">
        <w:rPr>
          <w:rFonts w:hint="eastAsia"/>
          <w:sz w:val="28"/>
          <w:szCs w:val="28"/>
        </w:rPr>
        <w:t xml:space="preserve">:      </w:t>
      </w:r>
      <w:r w:rsidRPr="00F161B4">
        <w:rPr>
          <w:rFonts w:hint="eastAsia"/>
          <w:sz w:val="28"/>
          <w:szCs w:val="28"/>
        </w:rPr>
        <w:t>年</w:t>
      </w:r>
      <w:r w:rsidRPr="00F161B4">
        <w:rPr>
          <w:rFonts w:hint="eastAsia"/>
          <w:sz w:val="28"/>
          <w:szCs w:val="28"/>
        </w:rPr>
        <w:t xml:space="preserve">    </w:t>
      </w:r>
      <w:r w:rsidRPr="00F161B4">
        <w:rPr>
          <w:rFonts w:hint="eastAsia"/>
          <w:sz w:val="28"/>
          <w:szCs w:val="28"/>
        </w:rPr>
        <w:t>月</w:t>
      </w:r>
      <w:r w:rsidRPr="00F161B4">
        <w:rPr>
          <w:rFonts w:hint="eastAsia"/>
          <w:sz w:val="28"/>
          <w:szCs w:val="28"/>
        </w:rPr>
        <w:t xml:space="preserve">    </w:t>
      </w:r>
      <w:r w:rsidRPr="00F161B4">
        <w:rPr>
          <w:rFonts w:hint="eastAsia"/>
          <w:sz w:val="28"/>
          <w:szCs w:val="28"/>
        </w:rPr>
        <w:t>日</w:t>
      </w:r>
    </w:p>
    <w:p w:rsidR="00A57AF9" w:rsidRDefault="00A57AF9">
      <w:pPr>
        <w:rPr>
          <w:rFonts w:ascii="仿宋_GB2312" w:eastAsia="仿宋_GB2312"/>
          <w:sz w:val="32"/>
          <w:szCs w:val="32"/>
        </w:rPr>
      </w:pPr>
    </w:p>
    <w:p w:rsidR="00A57AF9" w:rsidRDefault="00A57AF9">
      <w:pPr>
        <w:rPr>
          <w:rFonts w:ascii="仿宋_GB2312" w:eastAsia="仿宋_GB2312"/>
          <w:sz w:val="32"/>
          <w:szCs w:val="32"/>
        </w:rPr>
      </w:pPr>
      <w:r>
        <w:rPr>
          <w:rFonts w:ascii="仿宋_GB2312" w:eastAsia="仿宋_GB2312" w:hint="eastAsia"/>
          <w:sz w:val="32"/>
          <w:szCs w:val="32"/>
        </w:rPr>
        <w:t>说明：</w:t>
      </w:r>
    </w:p>
    <w:p w:rsidR="00A57AF9" w:rsidRPr="00940980" w:rsidRDefault="00553D39">
      <w:pPr>
        <w:rPr>
          <w:rFonts w:ascii="仿宋_GB2312" w:eastAsia="仿宋_GB2312"/>
          <w:szCs w:val="21"/>
        </w:rPr>
      </w:pPr>
      <w:r w:rsidRPr="00940980">
        <w:rPr>
          <w:rFonts w:ascii="仿宋_GB2312" w:eastAsia="仿宋_GB2312" w:hint="eastAsia"/>
          <w:szCs w:val="21"/>
        </w:rPr>
        <w:t>1.</w:t>
      </w:r>
      <w:r w:rsidRPr="00940980">
        <w:rPr>
          <w:rFonts w:hint="eastAsia"/>
          <w:szCs w:val="21"/>
        </w:rPr>
        <w:t xml:space="preserve"> </w:t>
      </w:r>
      <w:r w:rsidRPr="00940980">
        <w:rPr>
          <w:rFonts w:hint="eastAsia"/>
          <w:szCs w:val="21"/>
        </w:rPr>
        <w:t>支撑本校科技创新成效案例：每单位提交不少于</w:t>
      </w:r>
      <w:r w:rsidR="001C7FDD">
        <w:rPr>
          <w:rFonts w:hint="eastAsia"/>
          <w:szCs w:val="21"/>
        </w:rPr>
        <w:t>2</w:t>
      </w:r>
      <w:r w:rsidRPr="00940980">
        <w:rPr>
          <w:rFonts w:hint="eastAsia"/>
          <w:szCs w:val="21"/>
        </w:rPr>
        <w:t>篇</w:t>
      </w:r>
    </w:p>
    <w:p w:rsidR="00A57AF9" w:rsidRPr="00940980" w:rsidRDefault="00553D39">
      <w:pPr>
        <w:rPr>
          <w:rFonts w:ascii="仿宋_GB2312" w:eastAsia="仿宋_GB2312"/>
          <w:szCs w:val="21"/>
        </w:rPr>
      </w:pPr>
      <w:r w:rsidRPr="00940980">
        <w:rPr>
          <w:rFonts w:ascii="仿宋_GB2312" w:eastAsia="仿宋_GB2312" w:hint="eastAsia"/>
          <w:szCs w:val="21"/>
        </w:rPr>
        <w:t>2.</w:t>
      </w:r>
      <w:r w:rsidRPr="00940980">
        <w:rPr>
          <w:rFonts w:hint="eastAsia"/>
          <w:szCs w:val="21"/>
        </w:rPr>
        <w:t xml:space="preserve"> </w:t>
      </w:r>
      <w:r w:rsidRPr="00940980">
        <w:rPr>
          <w:rFonts w:hint="eastAsia"/>
          <w:szCs w:val="21"/>
        </w:rPr>
        <w:t>支撑校外科技创新成效案例：每单位提交不少于</w:t>
      </w:r>
      <w:r w:rsidR="001C7FDD">
        <w:rPr>
          <w:rFonts w:hint="eastAsia"/>
          <w:szCs w:val="21"/>
        </w:rPr>
        <w:t>1</w:t>
      </w:r>
      <w:r w:rsidRPr="00940980">
        <w:rPr>
          <w:rFonts w:hint="eastAsia"/>
          <w:szCs w:val="21"/>
        </w:rPr>
        <w:t>篇</w:t>
      </w:r>
      <w:r w:rsidR="00940980">
        <w:rPr>
          <w:rFonts w:hint="eastAsia"/>
          <w:szCs w:val="21"/>
        </w:rPr>
        <w:t>。</w:t>
      </w:r>
    </w:p>
    <w:p w:rsidR="00A57AF9" w:rsidRDefault="00A57AF9">
      <w:pPr>
        <w:rPr>
          <w:rFonts w:ascii="仿宋_GB2312" w:eastAsia="仿宋_GB2312"/>
          <w:sz w:val="32"/>
          <w:szCs w:val="32"/>
        </w:rPr>
      </w:pPr>
    </w:p>
    <w:p w:rsidR="00216BA5" w:rsidRDefault="00216BA5">
      <w:pPr>
        <w:rPr>
          <w:rFonts w:ascii="仿宋_GB2312" w:eastAsia="仿宋_GB2312"/>
          <w:sz w:val="32"/>
          <w:szCs w:val="32"/>
        </w:rPr>
      </w:pPr>
    </w:p>
    <w:p w:rsidR="00BB10E7" w:rsidRDefault="00945D17">
      <w:pPr>
        <w:rPr>
          <w:rFonts w:ascii="仿宋_GB2312" w:eastAsia="仿宋_GB2312"/>
          <w:sz w:val="32"/>
          <w:szCs w:val="32"/>
        </w:rPr>
      </w:pPr>
      <w:r>
        <w:rPr>
          <w:rFonts w:ascii="仿宋_GB2312" w:eastAsia="仿宋_GB2312" w:hint="eastAsia"/>
          <w:sz w:val="32"/>
          <w:szCs w:val="32"/>
        </w:rPr>
        <w:lastRenderedPageBreak/>
        <w:t>范例</w:t>
      </w:r>
    </w:p>
    <w:p w:rsidR="00D8020F" w:rsidRPr="00EC285A" w:rsidRDefault="00D8020F" w:rsidP="00D8020F">
      <w:pPr>
        <w:rPr>
          <w:rFonts w:asciiTheme="minorEastAsia" w:hAnsiTheme="minorEastAsia" w:cs="宋体"/>
          <w:kern w:val="0"/>
          <w:szCs w:val="21"/>
        </w:rPr>
      </w:pPr>
      <w:r w:rsidRPr="00EC285A">
        <w:rPr>
          <w:rFonts w:asciiTheme="minorEastAsia" w:hAnsiTheme="minorEastAsia" w:cs="宋体" w:hint="eastAsia"/>
          <w:kern w:val="0"/>
          <w:szCs w:val="21"/>
        </w:rPr>
        <w:t>校内：</w:t>
      </w:r>
    </w:p>
    <w:p w:rsidR="00654E8D" w:rsidRDefault="00654E8D" w:rsidP="00654E8D">
      <w:pPr>
        <w:rPr>
          <w:rFonts w:asciiTheme="minorEastAsia" w:hAnsiTheme="minorEastAsia"/>
          <w:szCs w:val="21"/>
        </w:rPr>
      </w:pPr>
    </w:p>
    <w:p w:rsidR="00654E8D" w:rsidRDefault="00654E8D" w:rsidP="00654E8D">
      <w:pPr>
        <w:rPr>
          <w:rFonts w:asciiTheme="minorEastAsia" w:hAnsiTheme="minorEastAsia"/>
          <w:szCs w:val="21"/>
        </w:rPr>
      </w:pPr>
      <w:r>
        <w:rPr>
          <w:rFonts w:asciiTheme="minorEastAsia" w:hAnsiTheme="minorEastAsia" w:hint="eastAsia"/>
          <w:szCs w:val="21"/>
        </w:rPr>
        <w:t>1</w:t>
      </w:r>
      <w:r w:rsidRPr="00D8020F">
        <w:rPr>
          <w:rFonts w:asciiTheme="minorEastAsia" w:hAnsiTheme="minorEastAsia" w:hint="eastAsia"/>
          <w:szCs w:val="21"/>
        </w:rPr>
        <w:t>. 揭示提高苹果抗寒的转录调控机制：我校苹果逆境生物学团队通过使用</w:t>
      </w:r>
      <w:r>
        <w:rPr>
          <w:rFonts w:asciiTheme="minorEastAsia" w:hAnsiTheme="minorEastAsia" w:hint="eastAsia"/>
          <w:szCs w:val="21"/>
        </w:rPr>
        <w:t>***平台的</w:t>
      </w:r>
      <w:r w:rsidRPr="00D8020F">
        <w:rPr>
          <w:rFonts w:asciiTheme="minorEastAsia" w:hAnsiTheme="minorEastAsia" w:hint="eastAsia"/>
          <w:szCs w:val="21"/>
        </w:rPr>
        <w:t>双光子共聚焦显微镜、植物活体分子标记成像系统和ChIP-seq技术，鉴定了大量的下游靶基因，包括冷胁迫关键基因CIRCADIAN CLOCK ASSOCIATED 1（MdCCA1）和COLD SHOCK DOMAIN PROTEIN 3（MdCSP3）。MdCCA1调控MdCBF3的表达，进而调控COR基因来增加耐寒性。阐明了苹果MdMYB88/124基因在冷胁迫下能够增强苹果耐寒性并且通过调控CBF-dependent pathway基因（MdCCA1）和CBF-Independent pathway基因（MdCSP3）的表达，从而增强苹果的抗寒性。</w:t>
      </w:r>
      <w:r>
        <w:rPr>
          <w:rFonts w:asciiTheme="minorEastAsia" w:hAnsiTheme="minorEastAsia" w:hint="eastAsia"/>
          <w:szCs w:val="21"/>
        </w:rPr>
        <w:t>支撑了“****”等重大项目，</w:t>
      </w:r>
      <w:r w:rsidRPr="00D8020F">
        <w:rPr>
          <w:rFonts w:asciiTheme="minorEastAsia" w:hAnsiTheme="minorEastAsia" w:hint="eastAsia"/>
          <w:szCs w:val="21"/>
        </w:rPr>
        <w:t>并在中科院生物学一区和TOP期刊New Phytologist（IF=7.330）在线发表了题为“An atypical R2R3 MYB transcription factor increases cold hardiness by CBF-dependent and CBF-independent pathwas in apple”的研究论文。</w:t>
      </w:r>
    </w:p>
    <w:p w:rsidR="00D8020F" w:rsidRPr="00EC285A" w:rsidRDefault="00654E8D" w:rsidP="006E50FB">
      <w:pPr>
        <w:rPr>
          <w:rFonts w:asciiTheme="minorEastAsia" w:hAnsiTheme="minorEastAsia"/>
          <w:szCs w:val="21"/>
        </w:rPr>
      </w:pPr>
      <w:r w:rsidRPr="006E50FB">
        <w:rPr>
          <w:rFonts w:asciiTheme="minorEastAsia" w:hAnsiTheme="minorEastAsia" w:hint="eastAsia"/>
          <w:szCs w:val="21"/>
        </w:rPr>
        <w:t>2.明确******规律：西北农林科技大学***团队，</w:t>
      </w:r>
      <w:r w:rsidR="00D8020F" w:rsidRPr="00EC285A">
        <w:rPr>
          <w:rFonts w:asciiTheme="minorEastAsia" w:hAnsiTheme="minorEastAsia"/>
          <w:szCs w:val="21"/>
        </w:rPr>
        <w:t>利用</w:t>
      </w:r>
      <w:r>
        <w:rPr>
          <w:rFonts w:asciiTheme="minorEastAsia" w:hAnsiTheme="minorEastAsia" w:hint="eastAsia"/>
          <w:szCs w:val="21"/>
        </w:rPr>
        <w:t>***</w:t>
      </w:r>
      <w:r>
        <w:rPr>
          <w:rFonts w:asciiTheme="minorEastAsia" w:hAnsiTheme="minorEastAsia"/>
          <w:szCs w:val="21"/>
        </w:rPr>
        <w:t>平台的</w:t>
      </w:r>
      <w:r w:rsidR="00D8020F" w:rsidRPr="00EC285A">
        <w:rPr>
          <w:rFonts w:asciiTheme="minorEastAsia" w:hAnsiTheme="minorEastAsia" w:hint="eastAsia"/>
          <w:szCs w:val="21"/>
        </w:rPr>
        <w:t>高纯锗伽玛谱仪，</w:t>
      </w:r>
      <w:r w:rsidR="00D8020F" w:rsidRPr="00EC285A">
        <w:rPr>
          <w:rFonts w:asciiTheme="minorEastAsia" w:hAnsiTheme="minorEastAsia"/>
          <w:szCs w:val="21"/>
        </w:rPr>
        <w:t>通过</w:t>
      </w:r>
      <w:r w:rsidR="00D8020F" w:rsidRPr="00EC285A">
        <w:rPr>
          <w:rFonts w:asciiTheme="minorEastAsia" w:hAnsiTheme="minorEastAsia" w:hint="eastAsia"/>
          <w:szCs w:val="21"/>
        </w:rPr>
        <w:t>Be-7、Cs-137和P-210示踪技术、降雨和风速风向资料统计分析、野外风蚀小区定位观测的方法，明确了黄土高原的Be-7空间分布特征，在植被、水力、泥沙等中的分配，确认了淤地坝在不同时间尺度上的沉积旋回序列，结合复合指纹识别判定了区域侵蚀产沙的时空演变规律，重建了其所指示的侵蚀环境变化历史，区分了水蚀风蚀交错带风蚀和水蚀对总侵蚀的多年平均贡献，为黄土高原多营力复合侵蚀研究的深入开展奠定了基础。</w:t>
      </w:r>
      <w:r>
        <w:rPr>
          <w:rFonts w:asciiTheme="minorEastAsia" w:hAnsiTheme="minorEastAsia" w:hint="eastAsia"/>
          <w:szCs w:val="21"/>
        </w:rPr>
        <w:t>支撑了***等项目的研究，并</w:t>
      </w:r>
      <w:r w:rsidR="00D8020F" w:rsidRPr="00EC285A">
        <w:rPr>
          <w:rFonts w:asciiTheme="minorEastAsia" w:hAnsiTheme="minorEastAsia" w:hint="eastAsia"/>
          <w:szCs w:val="21"/>
        </w:rPr>
        <w:t>基于上述结果发表SCI文章11篇，双一流B类期刊1篇，其中中科院一区文章3篇，TOP文章5篇。</w:t>
      </w:r>
    </w:p>
    <w:p w:rsidR="00D8020F" w:rsidRPr="006E50FB" w:rsidRDefault="00654E8D" w:rsidP="00D8020F">
      <w:pPr>
        <w:rPr>
          <w:rFonts w:asciiTheme="minorEastAsia" w:hAnsiTheme="minorEastAsia"/>
          <w:szCs w:val="21"/>
        </w:rPr>
      </w:pPr>
      <w:r w:rsidRPr="006E50FB">
        <w:rPr>
          <w:rFonts w:asciiTheme="minorEastAsia" w:hAnsiTheme="minorEastAsia" w:hint="eastAsia"/>
          <w:szCs w:val="21"/>
        </w:rPr>
        <w:t>3. **平台液相色谱仪，</w:t>
      </w:r>
      <w:r w:rsidRPr="006E50FB">
        <w:rPr>
          <w:rFonts w:asciiTheme="minorEastAsia" w:hAnsiTheme="minorEastAsia"/>
          <w:szCs w:val="21"/>
        </w:rPr>
        <w:t>主要用于作物根分泌物成分靶向定量精准检测。目前已成熟开展采用高效液相色谱分析测定根分泌物中的低分子量有机酸，确定了相关色谱条件和技术指标。常规实验中可分离鉴定的物质已达12种，包括：草酸、酒石酸、苹果酸、丙二酸、乙酸、柠檬酸、琥珀酸、丁二酸、富马酸、乳酸和反乌头酸等，此外还可分离定量根分泌物中的糖类和氨基酸等组分。</w:t>
      </w:r>
      <w:r w:rsidR="006E50FB" w:rsidRPr="006E50FB">
        <w:rPr>
          <w:rFonts w:asciiTheme="minorEastAsia" w:hAnsiTheme="minorEastAsia"/>
          <w:szCs w:val="21"/>
        </w:rPr>
        <w:t>依托</w:t>
      </w:r>
      <w:r w:rsidR="000B068A" w:rsidRPr="006E50FB">
        <w:rPr>
          <w:rFonts w:asciiTheme="minorEastAsia" w:hAnsiTheme="minorEastAsia"/>
          <w:szCs w:val="21"/>
        </w:rPr>
        <w:t>该仪器设备</w:t>
      </w:r>
      <w:r w:rsidR="006E50FB" w:rsidRPr="006E50FB">
        <w:rPr>
          <w:rFonts w:asciiTheme="minorEastAsia" w:hAnsiTheme="minorEastAsia" w:hint="eastAsia"/>
          <w:szCs w:val="21"/>
        </w:rPr>
        <w:t>****</w:t>
      </w:r>
      <w:r w:rsidR="006E50FB" w:rsidRPr="006E50FB">
        <w:rPr>
          <w:rFonts w:asciiTheme="minorEastAsia" w:hAnsiTheme="minorEastAsia"/>
          <w:szCs w:val="21"/>
        </w:rPr>
        <w:t>年度</w:t>
      </w:r>
      <w:r w:rsidRPr="006E50FB">
        <w:rPr>
          <w:rFonts w:asciiTheme="minorEastAsia" w:hAnsiTheme="minorEastAsia" w:hint="eastAsia"/>
          <w:szCs w:val="21"/>
        </w:rPr>
        <w:t>支撑***、***等重大项目</w:t>
      </w:r>
      <w:r w:rsidR="006E50FB" w:rsidRPr="006E50FB">
        <w:rPr>
          <w:rFonts w:asciiTheme="minorEastAsia" w:hAnsiTheme="minorEastAsia" w:hint="eastAsia"/>
          <w:szCs w:val="21"/>
        </w:rPr>
        <w:t>**项</w:t>
      </w:r>
      <w:r w:rsidR="000B068A" w:rsidRPr="006E50FB">
        <w:rPr>
          <w:rFonts w:asciiTheme="minorEastAsia" w:hAnsiTheme="minorEastAsia" w:hint="eastAsia"/>
          <w:szCs w:val="21"/>
        </w:rPr>
        <w:t>。获得了多项研究成果，</w:t>
      </w:r>
      <w:r w:rsidRPr="006E50FB">
        <w:rPr>
          <w:rFonts w:asciiTheme="minorEastAsia" w:hAnsiTheme="minorEastAsia"/>
          <w:szCs w:val="21"/>
        </w:rPr>
        <w:t>例如在对玉米/苜蓿间作体系磷高效机制的研究中发现，间作玉米显著促进苜蓿根系有机酸分泌，大幅提高间作系统中的养分利用效率和作物生产力，为绿色高效的农业种植体系设计提供证据支持和理论指导，该成果于2020年9月在Food and Energy Security（IF=5.2）杂志发表1篇科研文章。</w:t>
      </w:r>
    </w:p>
    <w:p w:rsidR="00D8020F" w:rsidRPr="00EC285A" w:rsidRDefault="00D8020F" w:rsidP="006E50FB">
      <w:pPr>
        <w:rPr>
          <w:rFonts w:asciiTheme="minorEastAsia" w:hAnsiTheme="minorEastAsia"/>
          <w:szCs w:val="21"/>
        </w:rPr>
      </w:pPr>
      <w:r w:rsidRPr="00EC285A">
        <w:rPr>
          <w:rFonts w:asciiTheme="minorEastAsia" w:hAnsiTheme="minorEastAsia" w:hint="eastAsia"/>
          <w:szCs w:val="21"/>
        </w:rPr>
        <w:t xml:space="preserve">4. </w:t>
      </w:r>
      <w:r w:rsidR="000B068A">
        <w:rPr>
          <w:rFonts w:asciiTheme="minorEastAsia" w:hAnsiTheme="minorEastAsia" w:hint="eastAsia"/>
          <w:szCs w:val="21"/>
        </w:rPr>
        <w:t>“</w:t>
      </w:r>
      <w:r w:rsidR="000B068A" w:rsidRPr="00EC285A">
        <w:rPr>
          <w:rFonts w:asciiTheme="minorEastAsia" w:hAnsiTheme="minorEastAsia" w:hint="eastAsia"/>
          <w:szCs w:val="21"/>
        </w:rPr>
        <w:t>北方小麦化肥农药减施技术集成研究与示范</w:t>
      </w:r>
      <w:r w:rsidR="000B068A">
        <w:rPr>
          <w:rFonts w:asciiTheme="minorEastAsia" w:hAnsiTheme="minorEastAsia" w:hint="eastAsia"/>
          <w:szCs w:val="21"/>
        </w:rPr>
        <w:t>”项目</w:t>
      </w:r>
      <w:r w:rsidRPr="00EC285A">
        <w:rPr>
          <w:rFonts w:asciiTheme="minorEastAsia" w:hAnsiTheme="minorEastAsia" w:hint="eastAsia"/>
          <w:szCs w:val="21"/>
        </w:rPr>
        <w:t>属于国家重点研发计划专项，</w:t>
      </w:r>
      <w:r w:rsidR="000B068A" w:rsidRPr="00EC285A">
        <w:rPr>
          <w:rFonts w:asciiTheme="minorEastAsia" w:hAnsiTheme="minorEastAsia" w:hint="eastAsia"/>
          <w:szCs w:val="21"/>
        </w:rPr>
        <w:t>该项目组利用</w:t>
      </w:r>
      <w:r w:rsidR="000B068A">
        <w:rPr>
          <w:rFonts w:asciiTheme="minorEastAsia" w:hAnsiTheme="minorEastAsia" w:hint="eastAsia"/>
          <w:szCs w:val="21"/>
        </w:rPr>
        <w:t>***平台</w:t>
      </w:r>
      <w:r w:rsidR="000B068A" w:rsidRPr="00EC285A">
        <w:rPr>
          <w:rFonts w:asciiTheme="minorEastAsia" w:hAnsiTheme="minorEastAsia" w:hint="eastAsia"/>
          <w:szCs w:val="21"/>
        </w:rPr>
        <w:t>电感耦合等离子体质谱仪</w:t>
      </w:r>
      <w:r w:rsidR="000B068A">
        <w:rPr>
          <w:rFonts w:asciiTheme="minorEastAsia" w:hAnsiTheme="minorEastAsia" w:hint="eastAsia"/>
          <w:szCs w:val="21"/>
        </w:rPr>
        <w:t>等仪器设备完成</w:t>
      </w:r>
      <w:r w:rsidR="000B068A" w:rsidRPr="00EC285A">
        <w:rPr>
          <w:rFonts w:asciiTheme="minorEastAsia" w:hAnsiTheme="minorEastAsia" w:hint="eastAsia"/>
          <w:szCs w:val="21"/>
        </w:rPr>
        <w:t>了大量土壤和植物样品的大中微量元素等重要工作，</w:t>
      </w:r>
      <w:r w:rsidR="000B068A">
        <w:rPr>
          <w:rFonts w:asciiTheme="minorEastAsia" w:hAnsiTheme="minorEastAsia" w:hint="eastAsia"/>
          <w:szCs w:val="21"/>
        </w:rPr>
        <w:t>支撑项目组</w:t>
      </w:r>
      <w:r w:rsidRPr="00EC285A">
        <w:rPr>
          <w:rFonts w:asciiTheme="minorEastAsia" w:hAnsiTheme="minorEastAsia" w:hint="eastAsia"/>
          <w:szCs w:val="21"/>
        </w:rPr>
        <w:t>明确北方麦区土壤培肥与小麦生产优质的养分限量标准，有害生物防治指标与农药施用限量标准，建立小麦化肥定量减施与农药精准减施技术，明确绿肥、有机肥、还田秸秆的肥料替代潜力和调控方法，确定针对性强、效果明显、简便易行的物理和生物防控措施，建立化肥有机替代与农药绿色替代技术，根据不同麦区的特点，建立小麦化肥农药减施增产增效栽培技术综合创新模式，</w:t>
      </w:r>
      <w:r w:rsidR="000B068A">
        <w:rPr>
          <w:rFonts w:asciiTheme="minorEastAsia" w:hAnsiTheme="minorEastAsia" w:hint="eastAsia"/>
          <w:szCs w:val="21"/>
        </w:rPr>
        <w:t>并</w:t>
      </w:r>
      <w:r w:rsidRPr="00EC285A">
        <w:rPr>
          <w:rFonts w:asciiTheme="minorEastAsia" w:hAnsiTheme="minorEastAsia" w:hint="eastAsia"/>
          <w:szCs w:val="21"/>
        </w:rPr>
        <w:t>大面积推广应用。</w:t>
      </w:r>
      <w:r w:rsidR="000B068A">
        <w:rPr>
          <w:rFonts w:asciiTheme="minorEastAsia" w:hAnsiTheme="minorEastAsia" w:hint="eastAsia"/>
          <w:szCs w:val="21"/>
        </w:rPr>
        <w:t>同时获得**方面研究成成果，</w:t>
      </w:r>
      <w:r w:rsidR="00D7535E">
        <w:rPr>
          <w:rFonts w:asciiTheme="minorEastAsia" w:hAnsiTheme="minorEastAsia" w:hint="eastAsia"/>
          <w:szCs w:val="21"/>
        </w:rPr>
        <w:t>发表科技论文**篇，主要成果发表在**（IF=*.*）杂志</w:t>
      </w:r>
      <w:r w:rsidRPr="00EC285A">
        <w:rPr>
          <w:rFonts w:asciiTheme="minorEastAsia" w:hAnsiTheme="minorEastAsia" w:hint="eastAsia"/>
          <w:szCs w:val="21"/>
        </w:rPr>
        <w:t>。</w:t>
      </w:r>
    </w:p>
    <w:p w:rsidR="00D8020F" w:rsidRPr="006E50FB" w:rsidRDefault="00654E8D" w:rsidP="00D8020F">
      <w:pPr>
        <w:rPr>
          <w:rFonts w:asciiTheme="minorEastAsia" w:hAnsiTheme="minorEastAsia"/>
          <w:szCs w:val="21"/>
        </w:rPr>
      </w:pPr>
      <w:r w:rsidRPr="006E50FB">
        <w:rPr>
          <w:rFonts w:asciiTheme="minorEastAsia" w:hAnsiTheme="minorEastAsia" w:hint="eastAsia"/>
          <w:szCs w:val="21"/>
        </w:rPr>
        <w:t>5</w:t>
      </w:r>
      <w:r w:rsidR="00D8020F" w:rsidRPr="006E50FB">
        <w:rPr>
          <w:rFonts w:asciiTheme="minorEastAsia" w:hAnsiTheme="minorEastAsia" w:hint="eastAsia"/>
          <w:szCs w:val="21"/>
        </w:rPr>
        <w:t>. 揭示细胞质与叶绿体翻译的平衡调控叶绿体发育的新机制：我校研究</w:t>
      </w:r>
      <w:r w:rsidRPr="006E50FB">
        <w:rPr>
          <w:rFonts w:asciiTheme="minorEastAsia" w:hAnsiTheme="minorEastAsia" w:hint="eastAsia"/>
          <w:szCs w:val="21"/>
        </w:rPr>
        <w:t>***</w:t>
      </w:r>
      <w:r w:rsidR="00D8020F" w:rsidRPr="006E50FB">
        <w:rPr>
          <w:rFonts w:asciiTheme="minorEastAsia" w:hAnsiTheme="minorEastAsia" w:hint="eastAsia"/>
          <w:szCs w:val="21"/>
        </w:rPr>
        <w:t>团队一拟南芥叶片花斑突变体var2为切入点，通过var2突变体的逆转基因（SVR基因）和增强基因（EVR基因）的筛选和研究。通过</w:t>
      </w:r>
      <w:r w:rsidRPr="006E50FB">
        <w:rPr>
          <w:rFonts w:asciiTheme="minorEastAsia" w:hAnsiTheme="minorEastAsia" w:hint="eastAsia"/>
          <w:szCs w:val="21"/>
        </w:rPr>
        <w:t>**平台</w:t>
      </w:r>
      <w:r w:rsidR="00D8020F" w:rsidRPr="006E50FB">
        <w:rPr>
          <w:rFonts w:asciiTheme="minorEastAsia" w:hAnsiTheme="minorEastAsia" w:hint="eastAsia"/>
          <w:szCs w:val="21"/>
        </w:rPr>
        <w:t>高速转盘式激光共聚焦显微镜，利用不同种类（波长）的激光研究植物细胞发育形态学变化。提出了“细胞质与叶绿体翻译的平衡调控植物叶片花斑”的分子模型，根据该模型，在叶绿体发育过程中位于叶绿体类囊体膜上的FtsH复合物协同调控细胞质和叶绿体的翻译，保障叶绿体的正常发育。</w:t>
      </w:r>
      <w:r w:rsidR="00A30AE9" w:rsidRPr="006E50FB">
        <w:rPr>
          <w:rFonts w:asciiTheme="minorEastAsia" w:hAnsiTheme="minorEastAsia" w:hint="eastAsia"/>
          <w:szCs w:val="21"/>
        </w:rPr>
        <w:t>首次揭示了细胞质翻译过程和叶绿体</w:t>
      </w:r>
      <w:r w:rsidR="00A30AE9" w:rsidRPr="006E50FB">
        <w:rPr>
          <w:rFonts w:asciiTheme="minorEastAsia" w:hAnsiTheme="minorEastAsia" w:hint="eastAsia"/>
          <w:szCs w:val="21"/>
        </w:rPr>
        <w:lastRenderedPageBreak/>
        <w:t>翻译过程的协同平衡调控叶绿体发育的机制，叶绿体FtsH蛋白酶复合体很可能在协同平衡细胞质翻译过程和叶绿体翻译保障叶绿体正常发育的过程中发挥重要作用。其成果发表</w:t>
      </w:r>
      <w:r w:rsidR="00D8020F" w:rsidRPr="006E50FB">
        <w:rPr>
          <w:rFonts w:asciiTheme="minorEastAsia" w:hAnsiTheme="minorEastAsia" w:hint="eastAsia"/>
          <w:szCs w:val="21"/>
        </w:rPr>
        <w:t>在Plant Physiology（中科院生物大类一区，影响因子6.456）</w:t>
      </w:r>
      <w:r w:rsidR="00A30AE9" w:rsidRPr="006E50FB">
        <w:rPr>
          <w:rFonts w:asciiTheme="minorEastAsia" w:hAnsiTheme="minorEastAsia" w:hint="eastAsia"/>
          <w:szCs w:val="21"/>
        </w:rPr>
        <w:t>，支撑了**项目的研究。</w:t>
      </w:r>
    </w:p>
    <w:p w:rsidR="0015678A" w:rsidRDefault="0015678A" w:rsidP="0015678A">
      <w:r>
        <w:t>6</w:t>
      </w:r>
      <w:r>
        <w:rPr>
          <w:rFonts w:hint="eastAsia"/>
        </w:rPr>
        <w:t>.</w:t>
      </w:r>
      <w:r>
        <w:rPr>
          <w:rFonts w:hint="eastAsia"/>
        </w:rPr>
        <w:t>确定苹果中</w:t>
      </w:r>
      <w:r>
        <w:rPr>
          <w:rFonts w:hint="eastAsia"/>
        </w:rPr>
        <w:t>MdMYB88</w:t>
      </w:r>
      <w:r>
        <w:rPr>
          <w:rFonts w:hint="eastAsia"/>
        </w:rPr>
        <w:t>和</w:t>
      </w:r>
      <w:r>
        <w:rPr>
          <w:rFonts w:hint="eastAsia"/>
        </w:rPr>
        <w:t>MdMYB124</w:t>
      </w:r>
      <w:r>
        <w:rPr>
          <w:rFonts w:hint="eastAsia"/>
        </w:rPr>
        <w:t>在调节苹果树</w:t>
      </w:r>
      <w:r>
        <w:rPr>
          <w:rFonts w:hint="eastAsia"/>
        </w:rPr>
        <w:t>ABA</w:t>
      </w:r>
      <w:r>
        <w:rPr>
          <w:rFonts w:hint="eastAsia"/>
        </w:rPr>
        <w:t>平衡方面的反馈调节作用：我校</w:t>
      </w:r>
      <w:r>
        <w:rPr>
          <w:rFonts w:hint="eastAsia"/>
        </w:rPr>
        <w:t>*</w:t>
      </w:r>
      <w:r>
        <w:t>***</w:t>
      </w:r>
      <w:r>
        <w:rPr>
          <w:rFonts w:hint="eastAsia"/>
        </w:rPr>
        <w:t>团队通过使用</w:t>
      </w:r>
      <w:r>
        <w:rPr>
          <w:rFonts w:hint="eastAsia"/>
        </w:rPr>
        <w:t>*</w:t>
      </w:r>
      <w:r>
        <w:t>**</w:t>
      </w:r>
      <w:r>
        <w:rPr>
          <w:rFonts w:hint="eastAsia"/>
        </w:rPr>
        <w:t>平台液质联用仪等设备揭示了</w:t>
      </w:r>
      <w:r>
        <w:rPr>
          <w:rFonts w:hint="eastAsia"/>
        </w:rPr>
        <w:t>MdMYB88</w:t>
      </w:r>
      <w:r>
        <w:rPr>
          <w:rFonts w:hint="eastAsia"/>
        </w:rPr>
        <w:t>和</w:t>
      </w:r>
      <w:r>
        <w:rPr>
          <w:rFonts w:hint="eastAsia"/>
        </w:rPr>
        <w:t>MdMYB124</w:t>
      </w:r>
      <w:r>
        <w:rPr>
          <w:rFonts w:hint="eastAsia"/>
        </w:rPr>
        <w:t>是苹果干旱后</w:t>
      </w:r>
      <w:r>
        <w:rPr>
          <w:rFonts w:hint="eastAsia"/>
        </w:rPr>
        <w:t>ABA</w:t>
      </w:r>
      <w:r>
        <w:rPr>
          <w:rFonts w:hint="eastAsia"/>
        </w:rPr>
        <w:t>积累的关键转录因子，这种调节受</w:t>
      </w:r>
      <w:r>
        <w:rPr>
          <w:rFonts w:hint="eastAsia"/>
        </w:rPr>
        <w:t>ABA</w:t>
      </w:r>
      <w:r>
        <w:rPr>
          <w:rFonts w:hint="eastAsia"/>
        </w:rPr>
        <w:t>的负调控。发现</w:t>
      </w:r>
      <w:r>
        <w:rPr>
          <w:rFonts w:hint="eastAsia"/>
        </w:rPr>
        <w:t>MdMYB88</w:t>
      </w:r>
      <w:r>
        <w:rPr>
          <w:rFonts w:hint="eastAsia"/>
        </w:rPr>
        <w:t>和</w:t>
      </w:r>
      <w:r>
        <w:rPr>
          <w:rFonts w:hint="eastAsia"/>
        </w:rPr>
        <w:t>MdMYB124</w:t>
      </w:r>
      <w:r>
        <w:rPr>
          <w:rFonts w:hint="eastAsia"/>
        </w:rPr>
        <w:t>能够调节</w:t>
      </w:r>
      <w:r>
        <w:rPr>
          <w:rFonts w:hint="eastAsia"/>
        </w:rPr>
        <w:t>ABA</w:t>
      </w:r>
      <w:r>
        <w:rPr>
          <w:rFonts w:hint="eastAsia"/>
        </w:rPr>
        <w:t>的生物合成和分解基因，以及干旱和</w:t>
      </w:r>
      <w:r>
        <w:rPr>
          <w:rFonts w:hint="eastAsia"/>
        </w:rPr>
        <w:t>ABA</w:t>
      </w:r>
      <w:r>
        <w:rPr>
          <w:rFonts w:hint="eastAsia"/>
        </w:rPr>
        <w:t>反应基因的表达。突出了</w:t>
      </w:r>
      <w:r>
        <w:rPr>
          <w:rFonts w:hint="eastAsia"/>
        </w:rPr>
        <w:t>MdMYB88</w:t>
      </w:r>
      <w:r>
        <w:rPr>
          <w:rFonts w:hint="eastAsia"/>
        </w:rPr>
        <w:t>和</w:t>
      </w:r>
      <w:r>
        <w:rPr>
          <w:rFonts w:hint="eastAsia"/>
        </w:rPr>
        <w:t>MdMYB124</w:t>
      </w:r>
      <w:r>
        <w:rPr>
          <w:rFonts w:hint="eastAsia"/>
        </w:rPr>
        <w:t>在多年生苹果树</w:t>
      </w:r>
      <w:r>
        <w:rPr>
          <w:rFonts w:hint="eastAsia"/>
        </w:rPr>
        <w:t>ABA</w:t>
      </w:r>
      <w:r>
        <w:rPr>
          <w:rFonts w:hint="eastAsia"/>
        </w:rPr>
        <w:t>稳态中的作用，为苹果育种提供了遗传决定因素。支撑国家重点研发计划</w:t>
      </w:r>
      <w:r>
        <w:rPr>
          <w:rFonts w:hint="eastAsia"/>
        </w:rPr>
        <w:t>(2019YFD100100)</w:t>
      </w:r>
      <w:r>
        <w:rPr>
          <w:rFonts w:hint="eastAsia"/>
        </w:rPr>
        <w:t>、国家自然科学基金</w:t>
      </w:r>
      <w:r>
        <w:rPr>
          <w:rFonts w:hint="eastAsia"/>
        </w:rPr>
        <w:t>(31872800</w:t>
      </w:r>
      <w:r>
        <w:rPr>
          <w:rFonts w:hint="eastAsia"/>
        </w:rPr>
        <w:t>和</w:t>
      </w:r>
      <w:r>
        <w:rPr>
          <w:rFonts w:hint="eastAsia"/>
        </w:rPr>
        <w:t>31572106)</w:t>
      </w:r>
      <w:r>
        <w:rPr>
          <w:rFonts w:hint="eastAsia"/>
        </w:rPr>
        <w:t>等项目，研究成果以”</w:t>
      </w:r>
      <w:r>
        <w:rPr>
          <w:rFonts w:hint="eastAsia"/>
        </w:rPr>
        <w:t>Abscisic acid homeostasis is mediated by feedback regulation of MdMYB88 and MdMYB124</w:t>
      </w:r>
      <w:r>
        <w:rPr>
          <w:rFonts w:hint="eastAsia"/>
        </w:rPr>
        <w:t>”为题在《</w:t>
      </w:r>
      <w:r>
        <w:rPr>
          <w:rFonts w:hint="eastAsia"/>
        </w:rPr>
        <w:t>Journal of Experimental Botany</w:t>
      </w:r>
      <w:r>
        <w:rPr>
          <w:rFonts w:hint="eastAsia"/>
        </w:rPr>
        <w:t>》发表。</w:t>
      </w:r>
    </w:p>
    <w:p w:rsidR="0015678A" w:rsidRDefault="00A87F6F" w:rsidP="0015678A">
      <w:r>
        <w:t>7</w:t>
      </w:r>
      <w:r w:rsidR="0015678A">
        <w:rPr>
          <w:rFonts w:hint="eastAsia"/>
        </w:rPr>
        <w:t>.</w:t>
      </w:r>
      <w:r w:rsidR="0015678A">
        <w:rPr>
          <w:rFonts w:hint="eastAsia"/>
        </w:rPr>
        <w:t>揭示”肠道微生态</w:t>
      </w:r>
      <w:r w:rsidR="0015678A">
        <w:rPr>
          <w:rFonts w:hint="eastAsia"/>
        </w:rPr>
        <w:t>-</w:t>
      </w:r>
      <w:r w:rsidR="0015678A">
        <w:rPr>
          <w:rFonts w:hint="eastAsia"/>
        </w:rPr>
        <w:t>代谢物</w:t>
      </w:r>
      <w:r w:rsidR="0015678A">
        <w:rPr>
          <w:rFonts w:hint="eastAsia"/>
        </w:rPr>
        <w:t>-</w:t>
      </w:r>
      <w:r w:rsidR="0015678A">
        <w:rPr>
          <w:rFonts w:hint="eastAsia"/>
        </w:rPr>
        <w:t>脑”轴在高膳食纤维饮食干预母亲孕期肥胖引起的子代认知和社会交流能力障碍作用中的新机制：我校</w:t>
      </w:r>
      <w:r>
        <w:rPr>
          <w:rFonts w:hint="eastAsia"/>
        </w:rPr>
        <w:t>*</w:t>
      </w:r>
      <w:r>
        <w:t>**</w:t>
      </w:r>
      <w:r w:rsidR="0015678A">
        <w:rPr>
          <w:rFonts w:hint="eastAsia"/>
        </w:rPr>
        <w:t>教授团队采用母亲菌群移植、子代共笼试验、微生物代谢物短链脂肪酸干预试验等方法，证实高膳食纤维饮食对于神经系统发育的营养干预作用依赖于对肠道菌群及其代谢过程的调节，为高膳食纤维饮食对生命早期神经发育的精准营养干预策略提供了新思路。</w:t>
      </w:r>
      <w:r>
        <w:rPr>
          <w:rFonts w:hint="eastAsia"/>
        </w:rPr>
        <w:t>*</w:t>
      </w:r>
      <w:r>
        <w:t>**</w:t>
      </w:r>
      <w:r w:rsidR="0015678A">
        <w:rPr>
          <w:rFonts w:hint="eastAsia"/>
        </w:rPr>
        <w:t>学院</w:t>
      </w:r>
      <w:r>
        <w:rPr>
          <w:rFonts w:hint="eastAsia"/>
        </w:rPr>
        <w:t>*</w:t>
      </w:r>
      <w:r>
        <w:t>**</w:t>
      </w:r>
      <w:r w:rsidR="0015678A">
        <w:rPr>
          <w:rFonts w:hint="eastAsia"/>
        </w:rPr>
        <w:t>平台透射电镜对该研究超微结构实验方面提供了有力的支撑。支撑国家重点研发计划</w:t>
      </w:r>
      <w:r w:rsidR="0015678A">
        <w:rPr>
          <w:rFonts w:hint="eastAsia"/>
        </w:rPr>
        <w:t>(2017YFD0400204-01)</w:t>
      </w:r>
      <w:r w:rsidR="0015678A">
        <w:rPr>
          <w:rFonts w:hint="eastAsia"/>
        </w:rPr>
        <w:t>、国家自然课学基金</w:t>
      </w:r>
      <w:r w:rsidR="0015678A">
        <w:rPr>
          <w:rFonts w:hint="eastAsia"/>
        </w:rPr>
        <w:t>(32072214)</w:t>
      </w:r>
      <w:r w:rsidR="0015678A">
        <w:rPr>
          <w:rFonts w:hint="eastAsia"/>
        </w:rPr>
        <w:t>项目，研究成果以”</w:t>
      </w:r>
      <w:r w:rsidR="0015678A">
        <w:rPr>
          <w:rFonts w:hint="eastAsia"/>
        </w:rPr>
        <w:t>High-fiber diet mitigates maternal obesity-induced cognitive and social dysfunction in the offspring via gut-brain axis</w:t>
      </w:r>
      <w:r w:rsidR="0015678A">
        <w:rPr>
          <w:rFonts w:hint="eastAsia"/>
        </w:rPr>
        <w:t>”为题在《</w:t>
      </w:r>
      <w:r w:rsidR="0015678A">
        <w:rPr>
          <w:rFonts w:hint="eastAsia"/>
        </w:rPr>
        <w:t>Cell Metabolism</w:t>
      </w:r>
      <w:r w:rsidR="0015678A">
        <w:rPr>
          <w:rFonts w:hint="eastAsia"/>
        </w:rPr>
        <w:t>》发表。</w:t>
      </w:r>
    </w:p>
    <w:p w:rsidR="0015678A" w:rsidRDefault="00A87F6F" w:rsidP="0015678A">
      <w:r>
        <w:t>8</w:t>
      </w:r>
      <w:r w:rsidR="0015678A">
        <w:rPr>
          <w:rFonts w:hint="eastAsia"/>
        </w:rPr>
        <w:t>.</w:t>
      </w:r>
      <w:r w:rsidR="0015678A">
        <w:rPr>
          <w:rFonts w:hint="eastAsia"/>
        </w:rPr>
        <w:t>葡萄酒乳酸菌遗传操作工具优化建立方面取得新进展：我校</w:t>
      </w:r>
      <w:r>
        <w:rPr>
          <w:rFonts w:hint="eastAsia"/>
        </w:rPr>
        <w:t>*</w:t>
      </w:r>
      <w:r>
        <w:t>**</w:t>
      </w:r>
      <w:r w:rsidR="0015678A">
        <w:rPr>
          <w:rFonts w:hint="eastAsia"/>
        </w:rPr>
        <w:t>学院</w:t>
      </w:r>
      <w:r>
        <w:rPr>
          <w:rFonts w:hint="eastAsia"/>
        </w:rPr>
        <w:t>*</w:t>
      </w:r>
      <w:r>
        <w:t>**</w:t>
      </w:r>
      <w:r w:rsidR="0015678A">
        <w:rPr>
          <w:rFonts w:hint="eastAsia"/>
        </w:rPr>
        <w:t>教授团队以筛选自新疆葡萄酒产区的植物乳杆菌</w:t>
      </w:r>
      <w:r w:rsidR="0015678A">
        <w:rPr>
          <w:rFonts w:hint="eastAsia"/>
        </w:rPr>
        <w:t>XJ25</w:t>
      </w:r>
      <w:r w:rsidR="0015678A">
        <w:rPr>
          <w:rFonts w:hint="eastAsia"/>
        </w:rPr>
        <w:t>为研究对象，对其电转化条件进行了优化，研究了截短启动子</w:t>
      </w:r>
      <w:r w:rsidR="0015678A">
        <w:rPr>
          <w:rFonts w:hint="eastAsia"/>
        </w:rPr>
        <w:t>trcP23</w:t>
      </w:r>
      <w:r w:rsidR="0015678A">
        <w:rPr>
          <w:rFonts w:hint="eastAsia"/>
        </w:rPr>
        <w:t>和四个合成启动子</w:t>
      </w:r>
      <w:r w:rsidR="0015678A">
        <w:rPr>
          <w:rFonts w:hint="eastAsia"/>
        </w:rPr>
        <w:t>POL1-4</w:t>
      </w:r>
      <w:r w:rsidR="0015678A">
        <w:rPr>
          <w:rFonts w:hint="eastAsia"/>
        </w:rPr>
        <w:t>在</w:t>
      </w:r>
      <w:r w:rsidR="0015678A">
        <w:rPr>
          <w:rFonts w:hint="eastAsia"/>
        </w:rPr>
        <w:t>XJ25</w:t>
      </w:r>
      <w:r w:rsidR="0015678A">
        <w:rPr>
          <w:rFonts w:hint="eastAsia"/>
        </w:rPr>
        <w:t>细胞内表达活性、葡萄酒生境下细胞毒性以及在不同菌株内适用性，确定了启动子表达特性，为葡萄酒乳酸菌的分子机制研究、优良菌种选育及分子改造提供有效工具。生命科学大型仪器共享平台生物激光共聚焦显微镜对该研究提供支持。支撑国家重点研发计划</w:t>
      </w:r>
      <w:r w:rsidR="0015678A">
        <w:rPr>
          <w:rFonts w:hint="eastAsia"/>
        </w:rPr>
        <w:t>(2019YFD1002503)</w:t>
      </w:r>
      <w:r w:rsidR="0015678A">
        <w:rPr>
          <w:rFonts w:hint="eastAsia"/>
        </w:rPr>
        <w:t>、国家自然科学基金项目</w:t>
      </w:r>
      <w:r w:rsidR="0015678A">
        <w:rPr>
          <w:rFonts w:hint="eastAsia"/>
        </w:rPr>
        <w:t>(32072206)</w:t>
      </w:r>
      <w:r w:rsidR="0015678A">
        <w:rPr>
          <w:rFonts w:hint="eastAsia"/>
        </w:rPr>
        <w:t>等项目，研究成果以“</w:t>
      </w:r>
      <w:r w:rsidR="0015678A">
        <w:rPr>
          <w:rFonts w:hint="eastAsia"/>
        </w:rPr>
        <w:t>Optimization of Electrotransformation Parameters and Engineered Promotersfor Lactobacillus plantarum from Wine</w:t>
      </w:r>
      <w:r w:rsidR="0015678A">
        <w:rPr>
          <w:rFonts w:hint="eastAsia"/>
        </w:rPr>
        <w:t>”</w:t>
      </w:r>
      <w:r w:rsidR="0015678A">
        <w:rPr>
          <w:rFonts w:hint="eastAsia"/>
        </w:rPr>
        <w:t xml:space="preserve"> </w:t>
      </w:r>
      <w:r w:rsidR="0015678A">
        <w:rPr>
          <w:rFonts w:hint="eastAsia"/>
        </w:rPr>
        <w:t>为题在《</w:t>
      </w:r>
      <w:r w:rsidR="0015678A">
        <w:rPr>
          <w:rFonts w:hint="eastAsia"/>
        </w:rPr>
        <w:t>ACS Synthetic Biology</w:t>
      </w:r>
      <w:r w:rsidR="0015678A">
        <w:rPr>
          <w:rFonts w:hint="eastAsia"/>
        </w:rPr>
        <w:t>》上发表。</w:t>
      </w:r>
    </w:p>
    <w:p w:rsidR="0015678A" w:rsidRDefault="00A87F6F" w:rsidP="0015678A">
      <w:r>
        <w:t>9</w:t>
      </w:r>
      <w:r w:rsidR="0015678A">
        <w:rPr>
          <w:rFonts w:hint="eastAsia"/>
        </w:rPr>
        <w:t>.</w:t>
      </w:r>
      <w:r w:rsidR="0015678A">
        <w:rPr>
          <w:rFonts w:hint="eastAsia"/>
        </w:rPr>
        <w:t>发现假结核耶尔森氏菌第三套</w:t>
      </w:r>
      <w:r w:rsidR="0015678A">
        <w:rPr>
          <w:rFonts w:hint="eastAsia"/>
        </w:rPr>
        <w:t>VI</w:t>
      </w:r>
      <w:r w:rsidR="0015678A">
        <w:rPr>
          <w:rFonts w:hint="eastAsia"/>
        </w:rPr>
        <w:t>型分泌系统（</w:t>
      </w:r>
      <w:r w:rsidR="0015678A">
        <w:rPr>
          <w:rFonts w:hint="eastAsia"/>
        </w:rPr>
        <w:t>T6SS-3</w:t>
      </w:r>
      <w:r w:rsidR="0015678A">
        <w:rPr>
          <w:rFonts w:hint="eastAsia"/>
        </w:rPr>
        <w:t>）通过分泌一个新型</w:t>
      </w:r>
      <w:r w:rsidR="0015678A">
        <w:rPr>
          <w:rFonts w:hint="eastAsia"/>
        </w:rPr>
        <w:t>Ca2+</w:t>
      </w:r>
      <w:r w:rsidR="0015678A">
        <w:rPr>
          <w:rFonts w:hint="eastAsia"/>
        </w:rPr>
        <w:t>和</w:t>
      </w:r>
      <w:r w:rsidR="0015678A">
        <w:rPr>
          <w:rFonts w:hint="eastAsia"/>
        </w:rPr>
        <w:t>Mg2+</w:t>
      </w:r>
      <w:r w:rsidR="0015678A">
        <w:rPr>
          <w:rFonts w:hint="eastAsia"/>
        </w:rPr>
        <w:t>依赖性的</w:t>
      </w:r>
      <w:r w:rsidR="0015678A">
        <w:rPr>
          <w:rFonts w:hint="eastAsia"/>
        </w:rPr>
        <w:t>DNA</w:t>
      </w:r>
      <w:r w:rsidR="0015678A">
        <w:rPr>
          <w:rFonts w:hint="eastAsia"/>
        </w:rPr>
        <w:t>水解酶类效应蛋白，发挥接触非依赖型杀菌功能的新机制：我校</w:t>
      </w:r>
      <w:r>
        <w:rPr>
          <w:rFonts w:hint="eastAsia"/>
        </w:rPr>
        <w:t>*</w:t>
      </w:r>
      <w:r>
        <w:t>**</w:t>
      </w:r>
      <w:r w:rsidR="0015678A">
        <w:rPr>
          <w:rFonts w:hint="eastAsia"/>
        </w:rPr>
        <w:t>学院</w:t>
      </w:r>
      <w:r>
        <w:rPr>
          <w:rFonts w:hint="eastAsia"/>
        </w:rPr>
        <w:t>*</w:t>
      </w:r>
      <w:r>
        <w:t>**</w:t>
      </w:r>
      <w:r w:rsidR="0015678A">
        <w:rPr>
          <w:rFonts w:hint="eastAsia"/>
        </w:rPr>
        <w:t>教授团队使用</w:t>
      </w:r>
      <w:r>
        <w:rPr>
          <w:rFonts w:hint="eastAsia"/>
        </w:rPr>
        <w:t>*</w:t>
      </w:r>
      <w:r>
        <w:t>**</w:t>
      </w:r>
      <w:r w:rsidR="0015678A">
        <w:rPr>
          <w:rFonts w:hint="eastAsia"/>
        </w:rPr>
        <w:t>学院</w:t>
      </w:r>
      <w:r>
        <w:rPr>
          <w:rFonts w:hint="eastAsia"/>
        </w:rPr>
        <w:t>*</w:t>
      </w:r>
      <w:r>
        <w:t>**</w:t>
      </w:r>
      <w:r w:rsidR="0015678A">
        <w:rPr>
          <w:rFonts w:hint="eastAsia"/>
        </w:rPr>
        <w:t>平台高速转盘式激光共聚焦显微镜等仪器，发现</w:t>
      </w:r>
      <w:r w:rsidR="0015678A">
        <w:rPr>
          <w:rFonts w:hint="eastAsia"/>
        </w:rPr>
        <w:t>T6SS-3</w:t>
      </w:r>
      <w:r w:rsidR="0015678A">
        <w:rPr>
          <w:rFonts w:hint="eastAsia"/>
        </w:rPr>
        <w:t>分泌一个完全未知的新型小分子量效应蛋白</w:t>
      </w:r>
      <w:r w:rsidR="0015678A">
        <w:rPr>
          <w:rFonts w:hint="eastAsia"/>
        </w:rPr>
        <w:t>Tce1</w:t>
      </w:r>
      <w:r w:rsidR="0015678A">
        <w:rPr>
          <w:rFonts w:hint="eastAsia"/>
        </w:rPr>
        <w:t>，仅由</w:t>
      </w:r>
      <w:r w:rsidR="0015678A">
        <w:rPr>
          <w:rFonts w:hint="eastAsia"/>
        </w:rPr>
        <w:t>67</w:t>
      </w:r>
      <w:r w:rsidR="0015678A">
        <w:rPr>
          <w:rFonts w:hint="eastAsia"/>
        </w:rPr>
        <w:t>个氨基酸残基组成，毒性实验和生化功能鉴定发现，</w:t>
      </w:r>
      <w:r w:rsidR="0015678A">
        <w:rPr>
          <w:rFonts w:hint="eastAsia"/>
        </w:rPr>
        <w:t>Tce1</w:t>
      </w:r>
      <w:r w:rsidR="0015678A">
        <w:rPr>
          <w:rFonts w:hint="eastAsia"/>
        </w:rPr>
        <w:t>是一个独特的小分子量</w:t>
      </w:r>
      <w:r w:rsidR="0015678A">
        <w:rPr>
          <w:rFonts w:hint="eastAsia"/>
        </w:rPr>
        <w:t>Ca2+</w:t>
      </w:r>
      <w:r w:rsidR="0015678A">
        <w:rPr>
          <w:rFonts w:hint="eastAsia"/>
        </w:rPr>
        <w:t>和</w:t>
      </w:r>
      <w:r w:rsidR="0015678A">
        <w:rPr>
          <w:rFonts w:hint="eastAsia"/>
        </w:rPr>
        <w:t>Mg2+</w:t>
      </w:r>
      <w:r w:rsidR="0015678A">
        <w:rPr>
          <w:rFonts w:hint="eastAsia"/>
        </w:rPr>
        <w:t>依赖的</w:t>
      </w:r>
      <w:r w:rsidR="0015678A">
        <w:rPr>
          <w:rFonts w:hint="eastAsia"/>
        </w:rPr>
        <w:t>DNA</w:t>
      </w:r>
      <w:r w:rsidR="0015678A">
        <w:rPr>
          <w:rFonts w:hint="eastAsia"/>
        </w:rPr>
        <w:t>水解酶，可降解细菌</w:t>
      </w:r>
      <w:r w:rsidR="0015678A">
        <w:rPr>
          <w:rFonts w:hint="eastAsia"/>
        </w:rPr>
        <w:t>DNA</w:t>
      </w:r>
      <w:r w:rsidR="0015678A">
        <w:rPr>
          <w:rFonts w:hint="eastAsia"/>
        </w:rPr>
        <w:t>，破坏其遗传物质发挥杀菌功能。支撑国家杰出青年科学基金项目</w:t>
      </w:r>
      <w:r w:rsidR="0015678A">
        <w:rPr>
          <w:rFonts w:hint="eastAsia"/>
        </w:rPr>
        <w:t>(31725003)</w:t>
      </w:r>
      <w:r w:rsidR="0015678A">
        <w:rPr>
          <w:rFonts w:hint="eastAsia"/>
        </w:rPr>
        <w:t>，研究成果以”</w:t>
      </w:r>
      <w:r w:rsidR="0015678A">
        <w:rPr>
          <w:rFonts w:hint="eastAsia"/>
        </w:rPr>
        <w:t>Contact-independent killing mediated by a T6SS effector with intrinsic cell-entry properties</w:t>
      </w:r>
      <w:r w:rsidR="0015678A">
        <w:rPr>
          <w:rFonts w:hint="eastAsia"/>
        </w:rPr>
        <w:t>”为题在《</w:t>
      </w:r>
      <w:r w:rsidR="0015678A">
        <w:rPr>
          <w:rFonts w:hint="eastAsia"/>
        </w:rPr>
        <w:t>Nature Communications</w:t>
      </w:r>
      <w:r w:rsidR="0015678A">
        <w:rPr>
          <w:rFonts w:hint="eastAsia"/>
        </w:rPr>
        <w:t>》发表。</w:t>
      </w:r>
    </w:p>
    <w:p w:rsidR="0015678A" w:rsidRDefault="00A87F6F" w:rsidP="0015678A">
      <w:r>
        <w:t>10</w:t>
      </w:r>
      <w:r w:rsidR="0015678A">
        <w:rPr>
          <w:rFonts w:hint="eastAsia"/>
        </w:rPr>
        <w:t>.</w:t>
      </w:r>
      <w:r w:rsidR="0015678A">
        <w:rPr>
          <w:rFonts w:hint="eastAsia"/>
        </w:rPr>
        <w:t>解构黄土区土壤水平衡，阐明黄土区地下水补给机制：我校</w:t>
      </w:r>
      <w:r>
        <w:rPr>
          <w:rFonts w:hint="eastAsia"/>
        </w:rPr>
        <w:t>*</w:t>
      </w:r>
      <w:r>
        <w:t>**</w:t>
      </w:r>
      <w:r w:rsidR="0015678A">
        <w:rPr>
          <w:rFonts w:hint="eastAsia"/>
        </w:rPr>
        <w:t>研究团队利用</w:t>
      </w:r>
      <w:r>
        <w:rPr>
          <w:rFonts w:hint="eastAsia"/>
        </w:rPr>
        <w:t>*</w:t>
      </w:r>
      <w:r>
        <w:t>**</w:t>
      </w:r>
      <w:r w:rsidR="0015678A">
        <w:rPr>
          <w:rFonts w:hint="eastAsia"/>
        </w:rPr>
        <w:t>学院</w:t>
      </w:r>
      <w:r>
        <w:rPr>
          <w:rFonts w:hint="eastAsia"/>
        </w:rPr>
        <w:t>*</w:t>
      </w:r>
      <w:r>
        <w:t>**</w:t>
      </w:r>
      <w:r w:rsidR="0015678A">
        <w:rPr>
          <w:rFonts w:hint="eastAsia"/>
        </w:rPr>
        <w:t>平台水同位素分析仪，研究了黄土区土地利用变化对土壤水平衡的影响。通过测定土壤水、降水、地下水中氢氧稳定同位素，系统地揭示了黄土高原土地利用变化对土壤水文过程的影响，为黄土区植被可持续恢复及水资源管理提供了重要理论依据。支撑国家自然科学基金</w:t>
      </w:r>
      <w:r w:rsidR="0015678A">
        <w:rPr>
          <w:rFonts w:hint="eastAsia"/>
        </w:rPr>
        <w:t>(42071043)</w:t>
      </w:r>
      <w:r w:rsidR="0015678A">
        <w:rPr>
          <w:rFonts w:hint="eastAsia"/>
        </w:rPr>
        <w:t>、陕西省自然科学基金</w:t>
      </w:r>
      <w:r w:rsidR="0015678A">
        <w:rPr>
          <w:rFonts w:hint="eastAsia"/>
        </w:rPr>
        <w:t>(2018JZ4001)</w:t>
      </w:r>
      <w:r w:rsidR="0015678A">
        <w:rPr>
          <w:rFonts w:hint="eastAsia"/>
        </w:rPr>
        <w:t>等项目，研究成果以”</w:t>
      </w:r>
      <w:r w:rsidR="0015678A">
        <w:rPr>
          <w:rFonts w:hint="eastAsia"/>
        </w:rPr>
        <w:t>Impacts of deep-rooted fruit trees on recharge of deep soil water using stable and radioactive isotopes</w:t>
      </w:r>
      <w:r w:rsidR="0015678A">
        <w:rPr>
          <w:rFonts w:hint="eastAsia"/>
        </w:rPr>
        <w:t>为题在《</w:t>
      </w:r>
      <w:r w:rsidR="0015678A">
        <w:rPr>
          <w:rFonts w:hint="eastAsia"/>
        </w:rPr>
        <w:t>Agricultural and Forest Meteorology</w:t>
      </w:r>
      <w:r w:rsidR="0015678A">
        <w:rPr>
          <w:rFonts w:hint="eastAsia"/>
        </w:rPr>
        <w:t>》发表。</w:t>
      </w:r>
    </w:p>
    <w:p w:rsidR="00D8020F" w:rsidRPr="0015678A" w:rsidRDefault="00D8020F" w:rsidP="006E50FB">
      <w:pPr>
        <w:rPr>
          <w:rFonts w:asciiTheme="minorEastAsia" w:hAnsiTheme="minorEastAsia"/>
          <w:szCs w:val="21"/>
        </w:rPr>
      </w:pPr>
    </w:p>
    <w:p w:rsidR="00D8020F" w:rsidRPr="00EC285A" w:rsidRDefault="00D8020F" w:rsidP="00D8020F">
      <w:pPr>
        <w:rPr>
          <w:rFonts w:asciiTheme="minorEastAsia" w:hAnsiTheme="minorEastAsia"/>
          <w:szCs w:val="21"/>
        </w:rPr>
      </w:pPr>
    </w:p>
    <w:p w:rsidR="00D8020F" w:rsidRPr="00EC285A" w:rsidRDefault="00D8020F" w:rsidP="00D8020F">
      <w:pPr>
        <w:rPr>
          <w:rFonts w:asciiTheme="minorEastAsia" w:hAnsiTheme="minorEastAsia" w:cs="宋体"/>
          <w:kern w:val="0"/>
          <w:szCs w:val="21"/>
        </w:rPr>
      </w:pPr>
    </w:p>
    <w:p w:rsidR="00D8020F" w:rsidRPr="00EC285A" w:rsidRDefault="00D8020F" w:rsidP="00D8020F">
      <w:pPr>
        <w:rPr>
          <w:rFonts w:asciiTheme="minorEastAsia" w:hAnsiTheme="minorEastAsia" w:cs="宋体"/>
          <w:kern w:val="0"/>
          <w:szCs w:val="21"/>
        </w:rPr>
      </w:pPr>
      <w:r w:rsidRPr="00EC285A">
        <w:rPr>
          <w:rFonts w:asciiTheme="minorEastAsia" w:hAnsiTheme="minorEastAsia" w:cs="宋体" w:hint="eastAsia"/>
          <w:kern w:val="0"/>
          <w:szCs w:val="21"/>
        </w:rPr>
        <w:t>校外：</w:t>
      </w:r>
    </w:p>
    <w:p w:rsidR="00F42D93" w:rsidRPr="006E50FB" w:rsidRDefault="00F42D93" w:rsidP="006E50FB">
      <w:pPr>
        <w:rPr>
          <w:rFonts w:asciiTheme="minorEastAsia" w:hAnsiTheme="minorEastAsia"/>
          <w:szCs w:val="21"/>
        </w:rPr>
      </w:pPr>
      <w:r w:rsidRPr="006E50FB">
        <w:rPr>
          <w:rFonts w:asciiTheme="minorEastAsia" w:hAnsiTheme="minorEastAsia" w:hint="eastAsia"/>
          <w:szCs w:val="21"/>
        </w:rPr>
        <w:t>1</w:t>
      </w:r>
      <w:r w:rsidRPr="006E50FB">
        <w:rPr>
          <w:rFonts w:asciiTheme="minorEastAsia" w:hAnsiTheme="minorEastAsia"/>
          <w:szCs w:val="21"/>
        </w:rPr>
        <w:t>：支撑畜牧兽医同行开展动物营养等基础性与应用性研究，推动我国畜牧兽医领域的原始创新能力，促进畜牧兽医产业发展。 利用</w:t>
      </w:r>
      <w:r w:rsidRPr="006E50FB">
        <w:rPr>
          <w:rFonts w:asciiTheme="minorEastAsia" w:hAnsiTheme="minorEastAsia" w:hint="eastAsia"/>
          <w:szCs w:val="21"/>
        </w:rPr>
        <w:t>**</w:t>
      </w:r>
      <w:r w:rsidRPr="006E50FB">
        <w:rPr>
          <w:rFonts w:asciiTheme="minorEastAsia" w:hAnsiTheme="minorEastAsia"/>
          <w:szCs w:val="21"/>
        </w:rPr>
        <w:t>平台</w:t>
      </w:r>
      <w:r w:rsidRPr="006E50FB">
        <w:rPr>
          <w:rFonts w:asciiTheme="minorEastAsia" w:hAnsiTheme="minorEastAsia" w:hint="eastAsia"/>
          <w:szCs w:val="21"/>
        </w:rPr>
        <w:t>（单位）</w:t>
      </w:r>
      <w:r w:rsidRPr="006E50FB">
        <w:rPr>
          <w:rFonts w:asciiTheme="minorEastAsia" w:hAnsiTheme="minorEastAsia"/>
          <w:szCs w:val="21"/>
        </w:rPr>
        <w:t>荧光定量PCR仪等仪器设备，支撑</w:t>
      </w:r>
      <w:r w:rsidRPr="006E50FB">
        <w:rPr>
          <w:rFonts w:asciiTheme="minorEastAsia" w:hAnsiTheme="minorEastAsia" w:hint="eastAsia"/>
          <w:szCs w:val="21"/>
        </w:rPr>
        <w:t>**</w:t>
      </w:r>
      <w:r w:rsidRPr="006E50FB">
        <w:rPr>
          <w:rFonts w:asciiTheme="minorEastAsia" w:hAnsiTheme="minorEastAsia"/>
          <w:szCs w:val="21"/>
        </w:rPr>
        <w:t>大学</w:t>
      </w:r>
      <w:r w:rsidRPr="006E50FB">
        <w:rPr>
          <w:rFonts w:asciiTheme="minorEastAsia" w:hAnsiTheme="minorEastAsia" w:hint="eastAsia"/>
          <w:szCs w:val="21"/>
        </w:rPr>
        <w:t>***</w:t>
      </w:r>
      <w:r w:rsidRPr="006E50FB">
        <w:rPr>
          <w:rFonts w:asciiTheme="minorEastAsia" w:hAnsiTheme="minorEastAsia"/>
          <w:szCs w:val="21"/>
        </w:rPr>
        <w:t>团队检测RIPK1、RIPK3、MLKL、caspase 8和FADD等细胞凋亡相关基因的表达量，揭示氨气通过LncRNA-</w:t>
      </w:r>
      <w:hyperlink r:id="rId6" w:history="1">
        <w:r w:rsidRPr="006E50FB">
          <w:rPr>
            <w:rFonts w:asciiTheme="minorEastAsia" w:hAnsiTheme="minorEastAsia"/>
            <w:szCs w:val="21"/>
          </w:rPr>
          <w:t>107053293</w:t>
        </w:r>
      </w:hyperlink>
      <w:r w:rsidRPr="006E50FB">
        <w:rPr>
          <w:rFonts w:asciiTheme="minorEastAsia" w:hAnsiTheme="minorEastAsia"/>
          <w:szCs w:val="21"/>
        </w:rPr>
        <w:t>/MiR-148a-3p/FAF1轴调节鸡气管细胞坏死，该成果发表在《Journal of Hazardous Materials》（IF=9.038）。支撑</w:t>
      </w:r>
      <w:r w:rsidRPr="006E50FB">
        <w:rPr>
          <w:rFonts w:asciiTheme="minorEastAsia" w:hAnsiTheme="minorEastAsia" w:hint="eastAsia"/>
          <w:szCs w:val="21"/>
        </w:rPr>
        <w:t>**</w:t>
      </w:r>
      <w:r w:rsidRPr="006E50FB">
        <w:rPr>
          <w:rFonts w:asciiTheme="minorEastAsia" w:hAnsiTheme="minorEastAsia"/>
          <w:szCs w:val="21"/>
        </w:rPr>
        <w:t>研究所</w:t>
      </w:r>
      <w:r w:rsidRPr="006E50FB">
        <w:rPr>
          <w:rFonts w:asciiTheme="minorEastAsia" w:hAnsiTheme="minorEastAsia" w:hint="eastAsia"/>
          <w:szCs w:val="21"/>
        </w:rPr>
        <w:t>**</w:t>
      </w:r>
      <w:r w:rsidRPr="006E50FB">
        <w:rPr>
          <w:rFonts w:asciiTheme="minorEastAsia" w:hAnsiTheme="minorEastAsia"/>
          <w:szCs w:val="21"/>
        </w:rPr>
        <w:t>课题组分析Ifnb1、Ifnα4、Tnf、Il6和Isg56 mRNA在不同细胞系中的表达水平，揭示泛素结合酶UBE2S负调控I型干扰素信号通路的关键机制，成果发表在《Cell reports》（影响因子8.109）。支撑</w:t>
      </w:r>
      <w:r w:rsidRPr="006E50FB">
        <w:rPr>
          <w:rFonts w:asciiTheme="minorEastAsia" w:hAnsiTheme="minorEastAsia" w:hint="eastAsia"/>
          <w:szCs w:val="21"/>
        </w:rPr>
        <w:t>**</w:t>
      </w:r>
      <w:r w:rsidRPr="006E50FB">
        <w:rPr>
          <w:rFonts w:asciiTheme="minorEastAsia" w:hAnsiTheme="minorEastAsia"/>
          <w:szCs w:val="21"/>
        </w:rPr>
        <w:t>农业科学院饲料研究所完成</w:t>
      </w:r>
      <w:r w:rsidRPr="006E50FB">
        <w:rPr>
          <w:rFonts w:asciiTheme="minorEastAsia" w:hAnsiTheme="minorEastAsia" w:hint="eastAsia"/>
          <w:szCs w:val="21"/>
        </w:rPr>
        <w:t>**</w:t>
      </w:r>
      <w:r w:rsidRPr="006E50FB">
        <w:rPr>
          <w:rFonts w:asciiTheme="minorEastAsia" w:hAnsiTheme="minorEastAsia"/>
          <w:szCs w:val="21"/>
        </w:rPr>
        <w:t>重大研发项目“”等。</w:t>
      </w:r>
    </w:p>
    <w:p w:rsidR="00A30AE9" w:rsidRPr="00A87F6F" w:rsidRDefault="00A30AE9" w:rsidP="006E50FB">
      <w:pPr>
        <w:rPr>
          <w:rFonts w:asciiTheme="minorEastAsia" w:hAnsiTheme="minorEastAsia"/>
          <w:szCs w:val="21"/>
        </w:rPr>
      </w:pPr>
      <w:r w:rsidRPr="006E50FB">
        <w:rPr>
          <w:rFonts w:asciiTheme="minorEastAsia" w:hAnsiTheme="minorEastAsia" w:hint="eastAsia"/>
          <w:szCs w:val="21"/>
        </w:rPr>
        <w:t>2.</w:t>
      </w:r>
      <w:r w:rsidR="00A87F6F" w:rsidRPr="00A87F6F">
        <w:rPr>
          <w:rFonts w:hint="eastAsia"/>
        </w:rPr>
        <w:t xml:space="preserve"> </w:t>
      </w:r>
      <w:r w:rsidR="00A87F6F" w:rsidRPr="002B3017">
        <w:rPr>
          <w:rFonts w:hint="eastAsia"/>
        </w:rPr>
        <w:t>为各级政府部门、中小微企业提供委托检验测试：我单位食品学院测试中心依托其农业农村部食品质量监督检验测试中心（杨凌）国家级产品检验检测平台及液质联用仪、等离子质谱仪、等离子发射光谱仪、原子吸收分光光度计、氨基酸分析仪、液相色谱仪、气相色谱仪等大型仪器设备，面向国家、省、地方农业农村部门、市场监管部门、区域内农业领域相关企业及科研单位、农业合作社、社会个人等提供农产品、食品、动植物资源、农业环境等产品或样品检验检测服务。</w:t>
      </w:r>
      <w:r w:rsidR="00A87F6F">
        <w:t>***</w:t>
      </w:r>
      <w:r w:rsidR="00A87F6F" w:rsidRPr="002B3017">
        <w:rPr>
          <w:rFonts w:hint="eastAsia"/>
        </w:rPr>
        <w:t>年累计完成各级政府部门、企业及个人委托检验检测任务</w:t>
      </w:r>
      <w:r w:rsidR="00A87F6F" w:rsidRPr="002B3017">
        <w:rPr>
          <w:rFonts w:hint="eastAsia"/>
        </w:rPr>
        <w:t>6742</w:t>
      </w:r>
      <w:r w:rsidR="00A87F6F" w:rsidRPr="002B3017">
        <w:rPr>
          <w:rFonts w:hint="eastAsia"/>
        </w:rPr>
        <w:t>批次，为各级政府部门产品质量安全监管、产品质量评价及鉴定、企业或科研单位产品研发等提供有力支撑。</w:t>
      </w:r>
    </w:p>
    <w:p w:rsidR="00A87F6F" w:rsidRDefault="00A87F6F" w:rsidP="00A87F6F">
      <w:pPr>
        <w:rPr>
          <w:rFonts w:asciiTheme="minorEastAsia" w:hAnsiTheme="minorEastAsia"/>
          <w:szCs w:val="21"/>
        </w:rPr>
      </w:pPr>
      <w:r>
        <w:rPr>
          <w:rFonts w:asciiTheme="minorEastAsia" w:hAnsiTheme="minorEastAsia"/>
          <w:szCs w:val="21"/>
        </w:rPr>
        <w:t>3</w:t>
      </w:r>
      <w:r w:rsidR="00A30AE9" w:rsidRPr="006E50FB">
        <w:rPr>
          <w:rFonts w:asciiTheme="minorEastAsia" w:hAnsiTheme="minorEastAsia"/>
          <w:szCs w:val="21"/>
        </w:rPr>
        <w:t>.</w:t>
      </w:r>
      <w:r w:rsidRPr="00A87F6F">
        <w:rPr>
          <w:rFonts w:hint="eastAsia"/>
        </w:rPr>
        <w:t xml:space="preserve"> </w:t>
      </w:r>
      <w:r w:rsidRPr="002B3017">
        <w:rPr>
          <w:rFonts w:hint="eastAsia"/>
        </w:rPr>
        <w:t>助力陕西果酒产业，为相关企业提供技术服务：我校</w:t>
      </w:r>
      <w:r>
        <w:rPr>
          <w:rFonts w:hint="eastAsia"/>
        </w:rPr>
        <w:t>*</w:t>
      </w:r>
      <w:r>
        <w:t>**</w:t>
      </w:r>
      <w:r w:rsidRPr="002B3017">
        <w:rPr>
          <w:rFonts w:hint="eastAsia"/>
        </w:rPr>
        <w:t>学院协助</w:t>
      </w:r>
      <w:r>
        <w:rPr>
          <w:rFonts w:hint="eastAsia"/>
        </w:rPr>
        <w:t>*</w:t>
      </w:r>
      <w:r>
        <w:t>**</w:t>
      </w:r>
      <w:r w:rsidRPr="002B3017">
        <w:rPr>
          <w:rFonts w:hint="eastAsia"/>
        </w:rPr>
        <w:t>有限公司，针对酿造型猕猴桃果酒杂醇含量高、香气不够纯净、品种典型性不足等问题，开展猕猴桃果酒品质控制研究。葡萄与葡萄酒工程研究平台</w:t>
      </w:r>
      <w:r w:rsidRPr="002B3017">
        <w:rPr>
          <w:rFonts w:hint="eastAsia"/>
        </w:rPr>
        <w:t>GC-MS</w:t>
      </w:r>
      <w:r w:rsidRPr="002B3017">
        <w:rPr>
          <w:rFonts w:hint="eastAsia"/>
        </w:rPr>
        <w:t>为研究工作提供了支撑，主要是为猕猴桃果酒香气成分分析方面提供了技术与使用支持。通过研究，将猕猴桃果酒的高级醇产量降低到</w:t>
      </w:r>
      <w:r w:rsidRPr="002B3017">
        <w:rPr>
          <w:rFonts w:hint="eastAsia"/>
        </w:rPr>
        <w:t>223.08</w:t>
      </w:r>
      <w:r w:rsidRPr="002B3017">
        <w:rPr>
          <w:rFonts w:hint="eastAsia"/>
        </w:rPr>
        <w:t>±</w:t>
      </w:r>
      <w:r w:rsidRPr="002B3017">
        <w:rPr>
          <w:rFonts w:hint="eastAsia"/>
        </w:rPr>
        <w:t>6.78 mg/L</w:t>
      </w:r>
      <w:r w:rsidRPr="002B3017">
        <w:rPr>
          <w:rFonts w:hint="eastAsia"/>
        </w:rPr>
        <w:t>，实现了猕猴桃酒杂醇的有效控制。其次，基于果汁澄清技术、澄清参数的优化和发酵温度控制技术等，有效实现了发酵型猕猴桃果酒的香气纯净优雅，显著提高了发酵型果酒的感官质量和果酒的典型性。基于本研究成果，企业新开发产品</w:t>
      </w:r>
      <w:r w:rsidRPr="002B3017">
        <w:rPr>
          <w:rFonts w:hint="eastAsia"/>
        </w:rPr>
        <w:t>6</w:t>
      </w:r>
      <w:r w:rsidRPr="002B3017">
        <w:rPr>
          <w:rFonts w:hint="eastAsia"/>
        </w:rPr>
        <w:t>个，同时联合培养硕士研究生</w:t>
      </w:r>
      <w:r w:rsidRPr="002B3017">
        <w:rPr>
          <w:rFonts w:hint="eastAsia"/>
        </w:rPr>
        <w:t>1</w:t>
      </w:r>
      <w:r w:rsidRPr="002B3017">
        <w:rPr>
          <w:rFonts w:hint="eastAsia"/>
        </w:rPr>
        <w:t>名，其硕士毕业论文题目为“优质猕猴桃果酒工艺创新研究”。</w:t>
      </w:r>
    </w:p>
    <w:p w:rsidR="00A87F6F" w:rsidRDefault="00A87F6F" w:rsidP="00A87F6F">
      <w:r>
        <w:rPr>
          <w:rFonts w:asciiTheme="minorEastAsia" w:hAnsiTheme="minorEastAsia"/>
          <w:szCs w:val="21"/>
        </w:rPr>
        <w:t>4</w:t>
      </w:r>
      <w:r w:rsidRPr="002B3017">
        <w:rPr>
          <w:rFonts w:hint="eastAsia"/>
        </w:rPr>
        <w:t xml:space="preserve">. </w:t>
      </w:r>
      <w:r w:rsidRPr="002B3017">
        <w:rPr>
          <w:rFonts w:hint="eastAsia"/>
        </w:rPr>
        <w:t>阐明</w:t>
      </w:r>
      <w:r w:rsidRPr="002B3017">
        <w:rPr>
          <w:rFonts w:hint="eastAsia"/>
        </w:rPr>
        <w:t>Rtt105</w:t>
      </w:r>
      <w:r w:rsidRPr="002B3017">
        <w:rPr>
          <w:rFonts w:hint="eastAsia"/>
        </w:rPr>
        <w:t>蛋白通过调节</w:t>
      </w:r>
      <w:r w:rsidRPr="002B3017">
        <w:rPr>
          <w:rFonts w:hint="eastAsia"/>
        </w:rPr>
        <w:t>RPA</w:t>
      </w:r>
      <w:r w:rsidRPr="002B3017">
        <w:rPr>
          <w:rFonts w:hint="eastAsia"/>
        </w:rPr>
        <w:t>蛋白，发挥高保真度</w:t>
      </w:r>
      <w:r w:rsidRPr="002B3017">
        <w:rPr>
          <w:rFonts w:hint="eastAsia"/>
        </w:rPr>
        <w:t>DNA</w:t>
      </w:r>
      <w:r w:rsidRPr="002B3017">
        <w:rPr>
          <w:rFonts w:hint="eastAsia"/>
        </w:rPr>
        <w:t>复制和重组的重要作用：我校</w:t>
      </w:r>
      <w:r>
        <w:rPr>
          <w:rFonts w:hint="eastAsia"/>
        </w:rPr>
        <w:t>*</w:t>
      </w:r>
      <w:r>
        <w:t>**</w:t>
      </w:r>
      <w:r w:rsidRPr="002B3017">
        <w:rPr>
          <w:rFonts w:hint="eastAsia"/>
        </w:rPr>
        <w:t>教授研究团队通过使用蛋白质表达和纯化平台的高效蛋白纯化系统、全内反射单分子荧光显微镜等多台仪器，为</w:t>
      </w:r>
      <w:r>
        <w:rPr>
          <w:rFonts w:hint="eastAsia"/>
        </w:rPr>
        <w:t>*</w:t>
      </w:r>
      <w:r>
        <w:t>**</w:t>
      </w:r>
      <w:r w:rsidRPr="002B3017">
        <w:rPr>
          <w:rFonts w:hint="eastAsia"/>
        </w:rPr>
        <w:t>大学</w:t>
      </w:r>
      <w:r>
        <w:rPr>
          <w:rFonts w:hint="eastAsia"/>
        </w:rPr>
        <w:t>*</w:t>
      </w:r>
      <w:r>
        <w:t>*</w:t>
      </w:r>
      <w:r w:rsidRPr="002B3017">
        <w:rPr>
          <w:rFonts w:hint="eastAsia"/>
        </w:rPr>
        <w:t>团队和</w:t>
      </w:r>
      <w:r>
        <w:rPr>
          <w:rFonts w:hint="eastAsia"/>
        </w:rPr>
        <w:t>*</w:t>
      </w:r>
      <w:r>
        <w:t>*</w:t>
      </w:r>
      <w:r w:rsidRPr="002B3017">
        <w:rPr>
          <w:rFonts w:hint="eastAsia"/>
        </w:rPr>
        <w:t>教授团队提供高纯度高质量的人类</w:t>
      </w:r>
      <w:r w:rsidRPr="002B3017">
        <w:rPr>
          <w:rFonts w:hint="eastAsia"/>
        </w:rPr>
        <w:t>RPA</w:t>
      </w:r>
      <w:r w:rsidRPr="002B3017">
        <w:rPr>
          <w:rFonts w:hint="eastAsia"/>
        </w:rPr>
        <w:t>蛋白；合作研究发现</w:t>
      </w:r>
      <w:r w:rsidRPr="002B3017">
        <w:rPr>
          <w:rFonts w:hint="eastAsia"/>
        </w:rPr>
        <w:t>Rtt105</w:t>
      </w:r>
      <w:r w:rsidRPr="002B3017">
        <w:rPr>
          <w:rFonts w:hint="eastAsia"/>
        </w:rPr>
        <w:t>的缺失导致</w:t>
      </w:r>
      <w:r w:rsidRPr="002B3017">
        <w:rPr>
          <w:rFonts w:hint="eastAsia"/>
        </w:rPr>
        <w:t xml:space="preserve"> RPA</w:t>
      </w:r>
      <w:r w:rsidRPr="002B3017">
        <w:rPr>
          <w:rFonts w:hint="eastAsia"/>
        </w:rPr>
        <w:t>蛋白在核水平的降低，</w:t>
      </w:r>
      <w:r w:rsidRPr="002B3017">
        <w:rPr>
          <w:rFonts w:hint="eastAsia"/>
        </w:rPr>
        <w:t>RPA-ssDNA</w:t>
      </w:r>
      <w:r w:rsidRPr="002B3017">
        <w:rPr>
          <w:rFonts w:hint="eastAsia"/>
        </w:rPr>
        <w:t>组装受损，导致大量缺失或重复的复制错误增加；</w:t>
      </w:r>
      <w:r w:rsidRPr="002B3017">
        <w:rPr>
          <w:rFonts w:hint="eastAsia"/>
        </w:rPr>
        <w:t>Rtt105</w:t>
      </w:r>
      <w:r w:rsidRPr="002B3017">
        <w:rPr>
          <w:rFonts w:hint="eastAsia"/>
        </w:rPr>
        <w:t>参与</w:t>
      </w:r>
      <w:r w:rsidRPr="002B3017">
        <w:rPr>
          <w:rFonts w:hint="eastAsia"/>
        </w:rPr>
        <w:t xml:space="preserve"> DNA</w:t>
      </w:r>
      <w:r w:rsidRPr="002B3017">
        <w:rPr>
          <w:rFonts w:hint="eastAsia"/>
        </w:rPr>
        <w:t>双链断裂</w:t>
      </w:r>
      <w:r w:rsidRPr="002B3017">
        <w:rPr>
          <w:rFonts w:hint="eastAsia"/>
        </w:rPr>
        <w:t>(DSB)</w:t>
      </w:r>
      <w:r w:rsidRPr="002B3017">
        <w:rPr>
          <w:rFonts w:hint="eastAsia"/>
        </w:rPr>
        <w:t>的结束，通过基因转换或断裂诱导复制促进</w:t>
      </w:r>
      <w:r w:rsidRPr="002B3017">
        <w:rPr>
          <w:rFonts w:hint="eastAsia"/>
        </w:rPr>
        <w:t>RPA</w:t>
      </w:r>
      <w:r w:rsidRPr="002B3017">
        <w:rPr>
          <w:rFonts w:hint="eastAsia"/>
        </w:rPr>
        <w:t>的组装和同源重组修复。相比之下，</w:t>
      </w:r>
      <w:r w:rsidRPr="002B3017">
        <w:rPr>
          <w:rFonts w:hint="eastAsia"/>
        </w:rPr>
        <w:t>Rtt105</w:t>
      </w:r>
      <w:r w:rsidRPr="002B3017">
        <w:rPr>
          <w:rFonts w:hint="eastAsia"/>
        </w:rPr>
        <w:t>通过诱变单链退火或替代终端连接途径减弱</w:t>
      </w:r>
      <w:r w:rsidRPr="002B3017">
        <w:rPr>
          <w:rFonts w:hint="eastAsia"/>
        </w:rPr>
        <w:t>DSB</w:t>
      </w:r>
      <w:r w:rsidRPr="002B3017">
        <w:rPr>
          <w:rFonts w:hint="eastAsia"/>
        </w:rPr>
        <w:t>的修复，阐明</w:t>
      </w:r>
      <w:r w:rsidRPr="002B3017">
        <w:rPr>
          <w:rFonts w:hint="eastAsia"/>
        </w:rPr>
        <w:t>Rtt105</w:t>
      </w:r>
      <w:r w:rsidRPr="002B3017">
        <w:rPr>
          <w:rFonts w:hint="eastAsia"/>
        </w:rPr>
        <w:t>蛋白高保真度</w:t>
      </w:r>
      <w:r w:rsidRPr="002B3017">
        <w:rPr>
          <w:rFonts w:hint="eastAsia"/>
        </w:rPr>
        <w:t>DNA</w:t>
      </w:r>
      <w:r w:rsidRPr="002B3017">
        <w:rPr>
          <w:rFonts w:hint="eastAsia"/>
        </w:rPr>
        <w:t>复制和重组的机理。相关研究成果以“</w:t>
      </w:r>
      <w:r w:rsidRPr="002B3017">
        <w:rPr>
          <w:rFonts w:hint="eastAsia"/>
        </w:rPr>
        <w:t>Rtt105 promotes high-fidelity DNA replication and repair by regulating the single-stranded DNA-binding factor RPA</w:t>
      </w:r>
      <w:r w:rsidRPr="002B3017">
        <w:rPr>
          <w:rFonts w:hint="eastAsia"/>
        </w:rPr>
        <w:t>”为题在</w:t>
      </w:r>
      <w:r w:rsidRPr="002B3017">
        <w:rPr>
          <w:rFonts w:hint="eastAsia"/>
        </w:rPr>
        <w:t>PNAS</w:t>
      </w:r>
      <w:r w:rsidRPr="002B3017">
        <w:rPr>
          <w:rFonts w:hint="eastAsia"/>
        </w:rPr>
        <w:t>期刊发表。此工作可以深入了解人类细胞如何确保高保真度的</w:t>
      </w:r>
      <w:r w:rsidRPr="002B3017">
        <w:rPr>
          <w:rFonts w:hint="eastAsia"/>
        </w:rPr>
        <w:t>DNA</w:t>
      </w:r>
      <w:r w:rsidRPr="002B3017">
        <w:rPr>
          <w:rFonts w:hint="eastAsia"/>
        </w:rPr>
        <w:t>复制和修复，可揭示人类疾病中某些基因组排列的遗传基础。</w:t>
      </w:r>
    </w:p>
    <w:p w:rsidR="00A87F6F" w:rsidRDefault="00A87F6F" w:rsidP="00A87F6F">
      <w:r>
        <w:t>5</w:t>
      </w:r>
      <w:r w:rsidRPr="002B3017">
        <w:rPr>
          <w:rFonts w:hint="eastAsia"/>
        </w:rPr>
        <w:t xml:space="preserve">. </w:t>
      </w:r>
      <w:r w:rsidRPr="002B3017">
        <w:rPr>
          <w:rFonts w:hint="eastAsia"/>
        </w:rPr>
        <w:t>支持</w:t>
      </w:r>
      <w:r>
        <w:rPr>
          <w:rFonts w:hint="eastAsia"/>
        </w:rPr>
        <w:t>*</w:t>
      </w:r>
      <w:r>
        <w:t>*</w:t>
      </w:r>
      <w:r w:rsidRPr="002B3017">
        <w:rPr>
          <w:rFonts w:hint="eastAsia"/>
        </w:rPr>
        <w:t>大学开展水资源合理开发利用及维系其生态水文安全研究：我校</w:t>
      </w:r>
      <w:r>
        <w:rPr>
          <w:rFonts w:hint="eastAsia"/>
        </w:rPr>
        <w:t>*</w:t>
      </w:r>
      <w:r>
        <w:t>**</w:t>
      </w:r>
      <w:r w:rsidRPr="002B3017">
        <w:rPr>
          <w:rFonts w:hint="eastAsia"/>
        </w:rPr>
        <w:t>公共平台利用水同位素分析仪、离子色谱仪等仪器设备，为</w:t>
      </w:r>
      <w:r>
        <w:rPr>
          <w:rFonts w:hint="eastAsia"/>
        </w:rPr>
        <w:t>*</w:t>
      </w:r>
      <w:r>
        <w:t>*</w:t>
      </w:r>
      <w:r w:rsidRPr="002B3017">
        <w:rPr>
          <w:rFonts w:hint="eastAsia"/>
        </w:rPr>
        <w:t>大学</w:t>
      </w:r>
      <w:r>
        <w:rPr>
          <w:rFonts w:hint="eastAsia"/>
        </w:rPr>
        <w:t>*</w:t>
      </w:r>
      <w:r>
        <w:t>**</w:t>
      </w:r>
      <w:r w:rsidRPr="002B3017">
        <w:rPr>
          <w:rFonts w:hint="eastAsia"/>
        </w:rPr>
        <w:t>等科研团队提供降水、土壤水和植物水同位素方面的研究与科研样品测试服务，支撑其课题组完成了“胶莱平原大气降水氢氧稳定同位素变化特征及水汽来源”项目、国家自然科学基金“胶东半岛丘陵区苹果园岩石风化层水分补给过程与利用机制”等项目的研究。团队</w:t>
      </w:r>
      <w:r w:rsidRPr="002B3017">
        <w:rPr>
          <w:rFonts w:hint="eastAsia"/>
        </w:rPr>
        <w:t>2021</w:t>
      </w:r>
      <w:r w:rsidRPr="002B3017">
        <w:rPr>
          <w:rFonts w:hint="eastAsia"/>
        </w:rPr>
        <w:t>年在《</w:t>
      </w:r>
      <w:r w:rsidRPr="002B3017">
        <w:rPr>
          <w:rFonts w:hint="eastAsia"/>
        </w:rPr>
        <w:t>Agriculture Water Management</w:t>
      </w:r>
      <w:r w:rsidRPr="002B3017">
        <w:rPr>
          <w:rFonts w:hint="eastAsia"/>
        </w:rPr>
        <w:t>》等期刊发表学术论文</w:t>
      </w:r>
      <w:r w:rsidRPr="002B3017">
        <w:rPr>
          <w:rFonts w:hint="eastAsia"/>
        </w:rPr>
        <w:t>5</w:t>
      </w:r>
      <w:r w:rsidRPr="002B3017">
        <w:rPr>
          <w:rFonts w:hint="eastAsia"/>
        </w:rPr>
        <w:t>篇，研究结果为胶莱平原地表水</w:t>
      </w:r>
      <w:r w:rsidRPr="002B3017">
        <w:rPr>
          <w:rFonts w:hint="eastAsia"/>
        </w:rPr>
        <w:t>-</w:t>
      </w:r>
      <w:r w:rsidRPr="002B3017">
        <w:rPr>
          <w:rFonts w:hint="eastAsia"/>
        </w:rPr>
        <w:t>地下水</w:t>
      </w:r>
      <w:r w:rsidRPr="002B3017">
        <w:rPr>
          <w:rFonts w:hint="eastAsia"/>
        </w:rPr>
        <w:t>-</w:t>
      </w:r>
      <w:r w:rsidRPr="002B3017">
        <w:rPr>
          <w:rFonts w:hint="eastAsia"/>
        </w:rPr>
        <w:t>海水之间的相互转化研究，及胶东半岛果园水资源合理开发利用及维系该区域生态安全提供数据支撑，为该区域水资源合理开发利用及维系其生态水文安全提供指导和借鉴。</w:t>
      </w:r>
    </w:p>
    <w:p w:rsidR="00A87F6F" w:rsidRDefault="00A87F6F" w:rsidP="00A87F6F">
      <w:r>
        <w:lastRenderedPageBreak/>
        <w:t>6</w:t>
      </w:r>
      <w:r w:rsidRPr="002B3017">
        <w:rPr>
          <w:rFonts w:hint="eastAsia"/>
        </w:rPr>
        <w:t xml:space="preserve">. </w:t>
      </w:r>
      <w:r>
        <w:rPr>
          <w:rFonts w:hint="eastAsia"/>
        </w:rPr>
        <w:t>我校</w:t>
      </w:r>
      <w:r>
        <w:rPr>
          <w:rFonts w:hint="eastAsia"/>
        </w:rPr>
        <w:t>***</w:t>
      </w:r>
      <w:r w:rsidRPr="002B3017">
        <w:rPr>
          <w:rFonts w:hint="eastAsia"/>
        </w:rPr>
        <w:t>学院利用激光共聚焦显微镜为</w:t>
      </w:r>
      <w:r w:rsidR="00195F04">
        <w:rPr>
          <w:rFonts w:hint="eastAsia"/>
        </w:rPr>
        <w:t>*</w:t>
      </w:r>
      <w:r w:rsidR="00195F04">
        <w:t>**</w:t>
      </w:r>
      <w:r w:rsidRPr="002B3017">
        <w:rPr>
          <w:rFonts w:hint="eastAsia"/>
        </w:rPr>
        <w:t>有限公司提供样品测定，为该公司新产品研发提供仪器设备和技术上的帮助，</w:t>
      </w:r>
      <w:r w:rsidR="00195F04">
        <w:rPr>
          <w:rFonts w:hint="eastAsia"/>
        </w:rPr>
        <w:t>*</w:t>
      </w:r>
      <w:r w:rsidR="00195F04">
        <w:t>**</w:t>
      </w:r>
      <w:r w:rsidRPr="002B3017">
        <w:rPr>
          <w:rFonts w:hint="eastAsia"/>
        </w:rPr>
        <w:t>公司为全国</w:t>
      </w:r>
      <w:r w:rsidRPr="002B3017">
        <w:rPr>
          <w:rFonts w:hint="eastAsia"/>
        </w:rPr>
        <w:t>60</w:t>
      </w:r>
      <w:r w:rsidRPr="002B3017">
        <w:rPr>
          <w:rFonts w:hint="eastAsia"/>
        </w:rPr>
        <w:t>余所高校和研究所，开展了基于激光共聚焦技术的相关科研服务</w:t>
      </w:r>
      <w:r w:rsidRPr="002B3017">
        <w:rPr>
          <w:rFonts w:hint="eastAsia"/>
        </w:rPr>
        <w:t>150</w:t>
      </w:r>
      <w:r w:rsidRPr="002B3017">
        <w:rPr>
          <w:rFonts w:hint="eastAsia"/>
        </w:rPr>
        <w:t>余项。如开展的双分子荧光服务在</w:t>
      </w:r>
      <w:r w:rsidRPr="002B3017">
        <w:rPr>
          <w:rFonts w:hint="eastAsia"/>
        </w:rPr>
        <w:t>The Plant Journal</w:t>
      </w:r>
      <w:r w:rsidRPr="002B3017">
        <w:rPr>
          <w:rFonts w:hint="eastAsia"/>
        </w:rPr>
        <w:t>（</w:t>
      </w:r>
      <w:r w:rsidRPr="002B3017">
        <w:rPr>
          <w:rFonts w:hint="eastAsia"/>
        </w:rPr>
        <w:t>IF=5.775</w:t>
      </w:r>
      <w:r w:rsidRPr="002B3017">
        <w:rPr>
          <w:rFonts w:hint="eastAsia"/>
        </w:rPr>
        <w:t>）期刊上在线发表题为”</w:t>
      </w:r>
      <w:r w:rsidRPr="002B3017">
        <w:rPr>
          <w:rFonts w:hint="eastAsia"/>
        </w:rPr>
        <w:t>OsTTG1,a WD40 Repeat Gene, Regulates Anthocyanin Biosynthesis in Rice</w:t>
      </w:r>
      <w:r w:rsidRPr="002B3017">
        <w:rPr>
          <w:rFonts w:hint="eastAsia"/>
        </w:rPr>
        <w:t>”的研究论文等。</w:t>
      </w:r>
    </w:p>
    <w:p w:rsidR="00A87F6F" w:rsidRDefault="00195F04" w:rsidP="00A87F6F">
      <w:r>
        <w:t>7</w:t>
      </w:r>
      <w:r w:rsidR="00A87F6F" w:rsidRPr="002B3017">
        <w:rPr>
          <w:rFonts w:hint="eastAsia"/>
        </w:rPr>
        <w:t xml:space="preserve">. </w:t>
      </w:r>
      <w:r w:rsidR="00A87F6F" w:rsidRPr="002B3017">
        <w:rPr>
          <w:rFonts w:hint="eastAsia"/>
        </w:rPr>
        <w:t>依托</w:t>
      </w:r>
      <w:r>
        <w:rPr>
          <w:rFonts w:hint="eastAsia"/>
        </w:rPr>
        <w:t>*</w:t>
      </w:r>
      <w:r>
        <w:t>**</w:t>
      </w:r>
      <w:r w:rsidR="00A87F6F" w:rsidRPr="002B3017">
        <w:rPr>
          <w:rFonts w:hint="eastAsia"/>
        </w:rPr>
        <w:t>平台，</w:t>
      </w:r>
      <w:r>
        <w:rPr>
          <w:rFonts w:hint="eastAsia"/>
        </w:rPr>
        <w:t>*</w:t>
      </w:r>
      <w:r>
        <w:t>**</w:t>
      </w:r>
      <w:r w:rsidRPr="002B3017">
        <w:rPr>
          <w:rFonts w:hint="eastAsia"/>
        </w:rPr>
        <w:t>研究所</w:t>
      </w:r>
      <w:r>
        <w:rPr>
          <w:rFonts w:hint="eastAsia"/>
        </w:rPr>
        <w:t>*</w:t>
      </w:r>
      <w:r>
        <w:t>**</w:t>
      </w:r>
      <w:r w:rsidR="00A87F6F" w:rsidRPr="002B3017">
        <w:rPr>
          <w:rFonts w:hint="eastAsia"/>
        </w:rPr>
        <w:t>教授团队采用基于</w:t>
      </w:r>
      <w:r w:rsidR="00A87F6F" w:rsidRPr="002B3017">
        <w:rPr>
          <w:rFonts w:hint="eastAsia"/>
        </w:rPr>
        <w:t>Label-free</w:t>
      </w:r>
      <w:r w:rsidR="00A87F6F" w:rsidRPr="002B3017">
        <w:rPr>
          <w:rFonts w:hint="eastAsia"/>
        </w:rPr>
        <w:t>的定量蛋白质组学阐明了小麦种子胚和胚乳在干旱、盐胁迫和淹水胁迫下的差异响应蛋白质，结合抗氧化酶、淀粉酶等生理生化分析和转录水平的分析揭示了萌发期的小麦种子胚和胚乳应对干旱、盐和淹水胁迫的响应机制，通过不同耐性的小麦品种揭示了根系应对胁迫的响应差异，揭示了耐性小麦品种应对磷胁迫的适应机制，通过差异蛋白质共表达网络挖掘了关键节点蛋白质，为后续的耐性品种的选育提供理论基础和基因资源。发表相关论文</w:t>
      </w:r>
      <w:r w:rsidR="00A87F6F" w:rsidRPr="002B3017">
        <w:rPr>
          <w:rFonts w:hint="eastAsia"/>
        </w:rPr>
        <w:t>4</w:t>
      </w:r>
      <w:r w:rsidR="00A87F6F" w:rsidRPr="002B3017">
        <w:rPr>
          <w:rFonts w:hint="eastAsia"/>
        </w:rPr>
        <w:t>篇，其中</w:t>
      </w:r>
      <w:r w:rsidR="00A87F6F" w:rsidRPr="002B3017">
        <w:rPr>
          <w:rFonts w:hint="eastAsia"/>
        </w:rPr>
        <w:t>SCI</w:t>
      </w:r>
      <w:r w:rsidR="00A87F6F" w:rsidRPr="002B3017">
        <w:rPr>
          <w:rFonts w:hint="eastAsia"/>
        </w:rPr>
        <w:t>论文（二区）</w:t>
      </w:r>
      <w:r w:rsidR="00A87F6F" w:rsidRPr="002B3017">
        <w:rPr>
          <w:rFonts w:hint="eastAsia"/>
        </w:rPr>
        <w:t>2</w:t>
      </w:r>
      <w:r w:rsidR="00A87F6F" w:rsidRPr="002B3017">
        <w:rPr>
          <w:rFonts w:hint="eastAsia"/>
        </w:rPr>
        <w:t>篇，中文核心论文</w:t>
      </w:r>
      <w:r w:rsidR="00A87F6F" w:rsidRPr="002B3017">
        <w:rPr>
          <w:rFonts w:hint="eastAsia"/>
        </w:rPr>
        <w:t>2</w:t>
      </w:r>
      <w:r w:rsidR="00A87F6F" w:rsidRPr="002B3017">
        <w:rPr>
          <w:rFonts w:hint="eastAsia"/>
        </w:rPr>
        <w:t>篇；培养博士研究生</w:t>
      </w:r>
      <w:r w:rsidR="00A87F6F" w:rsidRPr="002B3017">
        <w:rPr>
          <w:rFonts w:hint="eastAsia"/>
        </w:rPr>
        <w:t>1</w:t>
      </w:r>
      <w:r w:rsidR="00A87F6F" w:rsidRPr="002B3017">
        <w:rPr>
          <w:rFonts w:hint="eastAsia"/>
        </w:rPr>
        <w:t>名，硕士研究生</w:t>
      </w:r>
      <w:r w:rsidR="00A87F6F" w:rsidRPr="002B3017">
        <w:rPr>
          <w:rFonts w:hint="eastAsia"/>
        </w:rPr>
        <w:t>1</w:t>
      </w:r>
      <w:r w:rsidR="00A87F6F" w:rsidRPr="002B3017">
        <w:rPr>
          <w:rFonts w:hint="eastAsia"/>
        </w:rPr>
        <w:t>名。</w:t>
      </w:r>
    </w:p>
    <w:p w:rsidR="00A87F6F" w:rsidRPr="00A87F6F" w:rsidRDefault="00A87F6F" w:rsidP="006E50FB">
      <w:pPr>
        <w:rPr>
          <w:rFonts w:asciiTheme="minorEastAsia" w:hAnsiTheme="minorEastAsia"/>
          <w:szCs w:val="21"/>
        </w:rPr>
      </w:pPr>
    </w:p>
    <w:sectPr w:rsidR="00A87F6F" w:rsidRPr="00A87F6F" w:rsidSect="004B13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2A1" w:rsidRDefault="000F32A1" w:rsidP="00BE4631">
      <w:r>
        <w:separator/>
      </w:r>
    </w:p>
  </w:endnote>
  <w:endnote w:type="continuationSeparator" w:id="0">
    <w:p w:rsidR="000F32A1" w:rsidRDefault="000F32A1" w:rsidP="00BE4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2A1" w:rsidRDefault="000F32A1" w:rsidP="00BE4631">
      <w:r>
        <w:separator/>
      </w:r>
    </w:p>
  </w:footnote>
  <w:footnote w:type="continuationSeparator" w:id="0">
    <w:p w:rsidR="000F32A1" w:rsidRDefault="000F32A1" w:rsidP="00BE4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4A39"/>
    <w:rsid w:val="00021713"/>
    <w:rsid w:val="000251A7"/>
    <w:rsid w:val="00032DB6"/>
    <w:rsid w:val="00041627"/>
    <w:rsid w:val="00047221"/>
    <w:rsid w:val="00076C1F"/>
    <w:rsid w:val="000849D6"/>
    <w:rsid w:val="00094CD0"/>
    <w:rsid w:val="000A3C5B"/>
    <w:rsid w:val="000A7C15"/>
    <w:rsid w:val="000B068A"/>
    <w:rsid w:val="000C6782"/>
    <w:rsid w:val="000F32A1"/>
    <w:rsid w:val="00126D78"/>
    <w:rsid w:val="00136A99"/>
    <w:rsid w:val="001527AD"/>
    <w:rsid w:val="0015678A"/>
    <w:rsid w:val="00177911"/>
    <w:rsid w:val="00195F04"/>
    <w:rsid w:val="001C7FDD"/>
    <w:rsid w:val="001D3809"/>
    <w:rsid w:val="002121F9"/>
    <w:rsid w:val="00213C4D"/>
    <w:rsid w:val="00216BA5"/>
    <w:rsid w:val="002220AA"/>
    <w:rsid w:val="00225449"/>
    <w:rsid w:val="00242DD5"/>
    <w:rsid w:val="0028598E"/>
    <w:rsid w:val="002B78E4"/>
    <w:rsid w:val="002D6DE1"/>
    <w:rsid w:val="00354D6C"/>
    <w:rsid w:val="00397750"/>
    <w:rsid w:val="003A7EAB"/>
    <w:rsid w:val="003C5D85"/>
    <w:rsid w:val="003D06FC"/>
    <w:rsid w:val="003D53B0"/>
    <w:rsid w:val="003E49DB"/>
    <w:rsid w:val="0040686B"/>
    <w:rsid w:val="00427271"/>
    <w:rsid w:val="0043227D"/>
    <w:rsid w:val="0043474C"/>
    <w:rsid w:val="0046423A"/>
    <w:rsid w:val="00464F1D"/>
    <w:rsid w:val="0047257C"/>
    <w:rsid w:val="004B13C2"/>
    <w:rsid w:val="004F0B65"/>
    <w:rsid w:val="00527A7A"/>
    <w:rsid w:val="00553D39"/>
    <w:rsid w:val="005E3C74"/>
    <w:rsid w:val="00606EC6"/>
    <w:rsid w:val="006362B6"/>
    <w:rsid w:val="00654265"/>
    <w:rsid w:val="00654E8D"/>
    <w:rsid w:val="00676564"/>
    <w:rsid w:val="006866B4"/>
    <w:rsid w:val="00690AAD"/>
    <w:rsid w:val="006E3950"/>
    <w:rsid w:val="006E50FB"/>
    <w:rsid w:val="007115F5"/>
    <w:rsid w:val="007410B3"/>
    <w:rsid w:val="00754644"/>
    <w:rsid w:val="00822A9B"/>
    <w:rsid w:val="00833DE2"/>
    <w:rsid w:val="00845A4F"/>
    <w:rsid w:val="00847B09"/>
    <w:rsid w:val="008665C3"/>
    <w:rsid w:val="008937C0"/>
    <w:rsid w:val="008B3720"/>
    <w:rsid w:val="008C65E6"/>
    <w:rsid w:val="00937629"/>
    <w:rsid w:val="00940980"/>
    <w:rsid w:val="00945D17"/>
    <w:rsid w:val="00946F6A"/>
    <w:rsid w:val="009843C2"/>
    <w:rsid w:val="00992D0E"/>
    <w:rsid w:val="00A113A3"/>
    <w:rsid w:val="00A23BBE"/>
    <w:rsid w:val="00A30AE9"/>
    <w:rsid w:val="00A43F26"/>
    <w:rsid w:val="00A53A46"/>
    <w:rsid w:val="00A53E2F"/>
    <w:rsid w:val="00A57AF9"/>
    <w:rsid w:val="00A638C1"/>
    <w:rsid w:val="00A708F9"/>
    <w:rsid w:val="00A73BB7"/>
    <w:rsid w:val="00A73F3E"/>
    <w:rsid w:val="00A87F6F"/>
    <w:rsid w:val="00AA7833"/>
    <w:rsid w:val="00AC1522"/>
    <w:rsid w:val="00AF4C20"/>
    <w:rsid w:val="00B22389"/>
    <w:rsid w:val="00B33BCB"/>
    <w:rsid w:val="00B5591D"/>
    <w:rsid w:val="00B61756"/>
    <w:rsid w:val="00BC0CDC"/>
    <w:rsid w:val="00BE4631"/>
    <w:rsid w:val="00BF66EF"/>
    <w:rsid w:val="00C120A1"/>
    <w:rsid w:val="00C41D14"/>
    <w:rsid w:val="00C53FA8"/>
    <w:rsid w:val="00C94566"/>
    <w:rsid w:val="00CC5552"/>
    <w:rsid w:val="00CD4A39"/>
    <w:rsid w:val="00CD71BC"/>
    <w:rsid w:val="00D7535E"/>
    <w:rsid w:val="00D8020F"/>
    <w:rsid w:val="00DD278E"/>
    <w:rsid w:val="00DF4160"/>
    <w:rsid w:val="00DF5991"/>
    <w:rsid w:val="00DF6E7B"/>
    <w:rsid w:val="00E06F4F"/>
    <w:rsid w:val="00E07328"/>
    <w:rsid w:val="00E14565"/>
    <w:rsid w:val="00E15E9D"/>
    <w:rsid w:val="00E61181"/>
    <w:rsid w:val="00E83DDE"/>
    <w:rsid w:val="00EA66AA"/>
    <w:rsid w:val="00EC747C"/>
    <w:rsid w:val="00ED35E9"/>
    <w:rsid w:val="00EE6664"/>
    <w:rsid w:val="00F005EE"/>
    <w:rsid w:val="00F16038"/>
    <w:rsid w:val="00F35F73"/>
    <w:rsid w:val="00F42D93"/>
    <w:rsid w:val="00F42FA7"/>
    <w:rsid w:val="00F43676"/>
    <w:rsid w:val="00F80469"/>
    <w:rsid w:val="00F805DC"/>
    <w:rsid w:val="00FA433B"/>
    <w:rsid w:val="00FD00A8"/>
    <w:rsid w:val="00FD1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44162"/>
  <w15:docId w15:val="{38E777E5-3A01-4A70-B62D-58DCCB73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3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8E4"/>
    <w:rPr>
      <w:sz w:val="18"/>
      <w:szCs w:val="18"/>
    </w:rPr>
  </w:style>
  <w:style w:type="character" w:customStyle="1" w:styleId="a4">
    <w:name w:val="批注框文本 字符"/>
    <w:basedOn w:val="a0"/>
    <w:link w:val="a3"/>
    <w:uiPriority w:val="99"/>
    <w:semiHidden/>
    <w:rsid w:val="002B78E4"/>
    <w:rPr>
      <w:sz w:val="18"/>
      <w:szCs w:val="18"/>
    </w:rPr>
  </w:style>
  <w:style w:type="table" w:styleId="a5">
    <w:name w:val="Table Grid"/>
    <w:basedOn w:val="a1"/>
    <w:rsid w:val="00945D1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BE463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BE4631"/>
    <w:rPr>
      <w:sz w:val="18"/>
      <w:szCs w:val="18"/>
    </w:rPr>
  </w:style>
  <w:style w:type="paragraph" w:styleId="a8">
    <w:name w:val="footer"/>
    <w:basedOn w:val="a"/>
    <w:link w:val="a9"/>
    <w:uiPriority w:val="99"/>
    <w:semiHidden/>
    <w:unhideWhenUsed/>
    <w:rsid w:val="00BE4631"/>
    <w:pPr>
      <w:tabs>
        <w:tab w:val="center" w:pos="4153"/>
        <w:tab w:val="right" w:pos="8306"/>
      </w:tabs>
      <w:snapToGrid w:val="0"/>
      <w:jc w:val="left"/>
    </w:pPr>
    <w:rPr>
      <w:sz w:val="18"/>
      <w:szCs w:val="18"/>
    </w:rPr>
  </w:style>
  <w:style w:type="character" w:customStyle="1" w:styleId="a9">
    <w:name w:val="页脚 字符"/>
    <w:basedOn w:val="a0"/>
    <w:link w:val="a8"/>
    <w:uiPriority w:val="99"/>
    <w:semiHidden/>
    <w:rsid w:val="00BE4631"/>
    <w:rPr>
      <w:sz w:val="18"/>
      <w:szCs w:val="18"/>
    </w:rPr>
  </w:style>
  <w:style w:type="character" w:styleId="aa">
    <w:name w:val="Hyperlink"/>
    <w:basedOn w:val="a0"/>
    <w:uiPriority w:val="99"/>
    <w:semiHidden/>
    <w:unhideWhenUsed/>
    <w:rsid w:val="00654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7427">
      <w:bodyDiv w:val="1"/>
      <w:marLeft w:val="0"/>
      <w:marRight w:val="0"/>
      <w:marTop w:val="0"/>
      <w:marBottom w:val="0"/>
      <w:divBdr>
        <w:top w:val="none" w:sz="0" w:space="0" w:color="auto"/>
        <w:left w:val="none" w:sz="0" w:space="0" w:color="auto"/>
        <w:bottom w:val="none" w:sz="0" w:space="0" w:color="auto"/>
        <w:right w:val="none" w:sz="0" w:space="0" w:color="auto"/>
      </w:divBdr>
    </w:div>
    <w:div w:id="681512139">
      <w:bodyDiv w:val="1"/>
      <w:marLeft w:val="0"/>
      <w:marRight w:val="0"/>
      <w:marTop w:val="0"/>
      <w:marBottom w:val="0"/>
      <w:divBdr>
        <w:top w:val="none" w:sz="0" w:space="0" w:color="auto"/>
        <w:left w:val="none" w:sz="0" w:space="0" w:color="auto"/>
        <w:bottom w:val="none" w:sz="0" w:space="0" w:color="auto"/>
        <w:right w:val="none" w:sz="0" w:space="0" w:color="auto"/>
      </w:divBdr>
    </w:div>
    <w:div w:id="732628488">
      <w:bodyDiv w:val="1"/>
      <w:marLeft w:val="0"/>
      <w:marRight w:val="0"/>
      <w:marTop w:val="0"/>
      <w:marBottom w:val="0"/>
      <w:divBdr>
        <w:top w:val="none" w:sz="0" w:space="0" w:color="auto"/>
        <w:left w:val="none" w:sz="0" w:space="0" w:color="auto"/>
        <w:bottom w:val="none" w:sz="0" w:space="0" w:color="auto"/>
        <w:right w:val="none" w:sz="0" w:space="0" w:color="auto"/>
      </w:divBdr>
    </w:div>
    <w:div w:id="1037124190">
      <w:bodyDiv w:val="1"/>
      <w:marLeft w:val="0"/>
      <w:marRight w:val="0"/>
      <w:marTop w:val="0"/>
      <w:marBottom w:val="0"/>
      <w:divBdr>
        <w:top w:val="none" w:sz="0" w:space="0" w:color="auto"/>
        <w:left w:val="none" w:sz="0" w:space="0" w:color="auto"/>
        <w:bottom w:val="none" w:sz="0" w:space="0" w:color="auto"/>
        <w:right w:val="none" w:sz="0" w:space="0" w:color="auto"/>
      </w:divBdr>
    </w:div>
    <w:div w:id="1042369209">
      <w:bodyDiv w:val="1"/>
      <w:marLeft w:val="0"/>
      <w:marRight w:val="0"/>
      <w:marTop w:val="0"/>
      <w:marBottom w:val="0"/>
      <w:divBdr>
        <w:top w:val="none" w:sz="0" w:space="0" w:color="auto"/>
        <w:left w:val="none" w:sz="0" w:space="0" w:color="auto"/>
        <w:bottom w:val="none" w:sz="0" w:space="0" w:color="auto"/>
        <w:right w:val="none" w:sz="0" w:space="0" w:color="auto"/>
      </w:divBdr>
    </w:div>
    <w:div w:id="1276903612">
      <w:bodyDiv w:val="1"/>
      <w:marLeft w:val="0"/>
      <w:marRight w:val="0"/>
      <w:marTop w:val="0"/>
      <w:marBottom w:val="0"/>
      <w:divBdr>
        <w:top w:val="none" w:sz="0" w:space="0" w:color="auto"/>
        <w:left w:val="none" w:sz="0" w:space="0" w:color="auto"/>
        <w:bottom w:val="none" w:sz="0" w:space="0" w:color="auto"/>
        <w:right w:val="none" w:sz="0" w:space="0" w:color="auto"/>
      </w:divBdr>
      <w:divsChild>
        <w:div w:id="1610435127">
          <w:marLeft w:val="0"/>
          <w:marRight w:val="0"/>
          <w:marTop w:val="0"/>
          <w:marBottom w:val="0"/>
          <w:divBdr>
            <w:top w:val="none" w:sz="0" w:space="0" w:color="auto"/>
            <w:left w:val="none" w:sz="0" w:space="0" w:color="auto"/>
            <w:bottom w:val="none" w:sz="0" w:space="0" w:color="auto"/>
            <w:right w:val="none" w:sz="0" w:space="0" w:color="auto"/>
          </w:divBdr>
          <w:divsChild>
            <w:div w:id="874730771">
              <w:marLeft w:val="0"/>
              <w:marRight w:val="0"/>
              <w:marTop w:val="150"/>
              <w:marBottom w:val="0"/>
              <w:divBdr>
                <w:top w:val="none" w:sz="0" w:space="0" w:color="auto"/>
                <w:left w:val="none" w:sz="0" w:space="0" w:color="auto"/>
                <w:bottom w:val="none" w:sz="0" w:space="0" w:color="auto"/>
                <w:right w:val="none" w:sz="0" w:space="0" w:color="auto"/>
              </w:divBdr>
              <w:divsChild>
                <w:div w:id="1903637505">
                  <w:marLeft w:val="0"/>
                  <w:marRight w:val="0"/>
                  <w:marTop w:val="0"/>
                  <w:marBottom w:val="0"/>
                  <w:divBdr>
                    <w:top w:val="none" w:sz="0" w:space="0" w:color="auto"/>
                    <w:left w:val="none" w:sz="0" w:space="0" w:color="auto"/>
                    <w:bottom w:val="none" w:sz="0" w:space="0" w:color="auto"/>
                    <w:right w:val="none" w:sz="0" w:space="0" w:color="auto"/>
                  </w:divBdr>
                  <w:divsChild>
                    <w:div w:id="1896506598">
                      <w:marLeft w:val="0"/>
                      <w:marRight w:val="0"/>
                      <w:marTop w:val="0"/>
                      <w:marBottom w:val="0"/>
                      <w:divBdr>
                        <w:top w:val="single" w:sz="6" w:space="0" w:color="BDD4AB"/>
                        <w:left w:val="single" w:sz="6" w:space="0" w:color="BDD4AB"/>
                        <w:bottom w:val="single" w:sz="6" w:space="0" w:color="BDD4AB"/>
                        <w:right w:val="single" w:sz="6" w:space="0" w:color="BDD4AB"/>
                      </w:divBdr>
                      <w:divsChild>
                        <w:div w:id="13529924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796604706">
      <w:bodyDiv w:val="1"/>
      <w:marLeft w:val="0"/>
      <w:marRight w:val="0"/>
      <w:marTop w:val="0"/>
      <w:marBottom w:val="0"/>
      <w:divBdr>
        <w:top w:val="none" w:sz="0" w:space="0" w:color="auto"/>
        <w:left w:val="none" w:sz="0" w:space="0" w:color="auto"/>
        <w:bottom w:val="none" w:sz="0" w:space="0" w:color="auto"/>
        <w:right w:val="none" w:sz="0" w:space="0" w:color="auto"/>
      </w:divBdr>
    </w:div>
    <w:div w:id="1856647255">
      <w:bodyDiv w:val="1"/>
      <w:marLeft w:val="0"/>
      <w:marRight w:val="0"/>
      <w:marTop w:val="0"/>
      <w:marBottom w:val="0"/>
      <w:divBdr>
        <w:top w:val="none" w:sz="0" w:space="0" w:color="auto"/>
        <w:left w:val="none" w:sz="0" w:space="0" w:color="auto"/>
        <w:bottom w:val="none" w:sz="0" w:space="0" w:color="auto"/>
        <w:right w:val="none" w:sz="0" w:space="0" w:color="auto"/>
      </w:divBdr>
    </w:div>
    <w:div w:id="19126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107053293"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500</TotalTime>
  <Pages>5</Pages>
  <Words>985</Words>
  <Characters>5621</Characters>
  <Application>Microsoft Office Word</Application>
  <DocSecurity>0</DocSecurity>
  <Lines>46</Lines>
  <Paragraphs>13</Paragraphs>
  <ScaleCrop>false</ScaleCrop>
  <Company>中国石油大学</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王波</dc:creator>
  <cp:keywords/>
  <dc:description/>
  <cp:lastModifiedBy>user</cp:lastModifiedBy>
  <cp:revision>50</cp:revision>
  <cp:lastPrinted>2023-03-10T06:35:00Z</cp:lastPrinted>
  <dcterms:created xsi:type="dcterms:W3CDTF">2018-08-19T07:04:00Z</dcterms:created>
  <dcterms:modified xsi:type="dcterms:W3CDTF">2023-03-10T06:35:00Z</dcterms:modified>
</cp:coreProperties>
</file>